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天津市滨海新区机关事务管理局</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spacing w:line="600" w:lineRule="exact"/>
        <w:jc w:val="center"/>
      </w:pPr>
      <w:r>
        <w:rPr>
          <w:rFonts w:hint="eastAsia" w:ascii="黑体" w:eastAsia="黑体"/>
          <w:sz w:val="44"/>
          <w:szCs w:val="44"/>
        </w:rPr>
        <w:t>目录</w:t>
      </w:r>
    </w:p>
    <w:p>
      <w:pPr>
        <w:pStyle w:val="9"/>
        <w:tabs>
          <w:tab w:val="right" w:leader="dot" w:pos="8306"/>
          <w:tab w:val="clear" w:pos="8296"/>
        </w:tabs>
        <w:rPr>
          <w:rFonts w:cs="黑体"/>
          <w:sz w:val="30"/>
          <w:szCs w:val="30"/>
        </w:rPr>
      </w:pPr>
      <w:r>
        <w:rPr>
          <w:rFonts w:hint="eastAsia" w:cs="黑体"/>
          <w:sz w:val="30"/>
          <w:szCs w:val="30"/>
        </w:rPr>
        <w:t>第一部分  概 况</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pPr>
        <w:pStyle w:val="9"/>
        <w:tabs>
          <w:tab w:val="right" w:leader="dot" w:pos="8306"/>
          <w:tab w:val="clear" w:pos="8296"/>
        </w:tabs>
        <w:rPr>
          <w:rFonts w:cs="黑体"/>
          <w:sz w:val="30"/>
          <w:szCs w:val="30"/>
        </w:rPr>
      </w:pPr>
      <w:r>
        <w:rPr>
          <w:rFonts w:hint="eastAsia" w:cs="黑体"/>
          <w:sz w:val="30"/>
          <w:szCs w:val="30"/>
        </w:rPr>
        <w:t>第二部分  2024年度部门决算表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pPr>
        <w:pStyle w:val="9"/>
        <w:tabs>
          <w:tab w:val="right" w:leader="dot" w:pos="8306"/>
          <w:tab w:val="clear" w:pos="8296"/>
        </w:tabs>
        <w:rPr>
          <w:rFonts w:cs="黑体"/>
          <w:sz w:val="30"/>
          <w:szCs w:val="30"/>
        </w:rPr>
      </w:pPr>
      <w:r>
        <w:rPr>
          <w:rFonts w:hint="eastAsia" w:cs="黑体"/>
          <w:sz w:val="30"/>
          <w:szCs w:val="30"/>
        </w:rPr>
        <w:t>第三部分 2024年度部门决算情况说明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pPr>
        <w:pStyle w:val="9"/>
        <w:tabs>
          <w:tab w:val="right" w:leader="dot" w:pos="8306"/>
          <w:tab w:val="clear" w:pos="8296"/>
        </w:tabs>
        <w:rPr>
          <w:rFonts w:cs="黑体"/>
          <w:sz w:val="30"/>
          <w:szCs w:val="30"/>
        </w:rPr>
      </w:pPr>
      <w:r>
        <w:rPr>
          <w:rFonts w:hint="eastAsia" w:cs="黑体"/>
          <w:sz w:val="30"/>
          <w:szCs w:val="30"/>
        </w:rPr>
        <w:t>第四部分  名词解释</w:t>
      </w:r>
    </w:p>
    <w:p>
      <w:pPr>
        <w:rPr>
          <w:rFonts w:eastAsia="仿宋"/>
          <w:b/>
          <w:szCs w:val="32"/>
        </w:rPr>
      </w:pPr>
    </w:p>
    <w:p>
      <w:pPr>
        <w:rPr>
          <w:rFonts w:eastAsia="仿宋"/>
          <w:b/>
          <w:szCs w:val="32"/>
        </w:rPr>
      </w:pPr>
    </w:p>
    <w:p>
      <w:pPr>
        <w:spacing w:line="700" w:lineRule="exact"/>
        <w:rPr>
          <w:rFonts w:eastAsia="仿宋"/>
          <w:sz w:val="30"/>
          <w:szCs w:val="32"/>
        </w:rPr>
      </w:pPr>
    </w:p>
    <w:p/>
    <w:p/>
    <w:p>
      <w:pPr>
        <w:sectPr>
          <w:footerReference r:id="rId11" w:type="default"/>
          <w:pgSz w:w="11906" w:h="16838"/>
          <w:pgMar w:top="1440" w:right="1800" w:bottom="1440" w:left="1800" w:header="851" w:footer="992" w:gutter="0"/>
          <w:pgNumType w:start="1"/>
          <w:cols w:space="720" w:num="1"/>
          <w:docGrid w:type="lines" w:linePitch="312" w:charSpace="0"/>
        </w:sectPr>
      </w:pPr>
    </w:p>
    <w:p>
      <w:pPr>
        <w:pStyle w:val="2"/>
        <w:spacing w:before="0" w:after="0" w:line="600" w:lineRule="exact"/>
        <w:jc w:val="center"/>
      </w:pPr>
      <w:bookmarkStart w:id="0" w:name="_Toc1214908849"/>
      <w:bookmarkStart w:id="1" w:name="_Toc1198055373"/>
      <w:bookmarkStart w:id="2" w:name="_Toc1358716097"/>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pPr>
        <w:pStyle w:val="3"/>
        <w:spacing w:before="0" w:after="0" w:line="800" w:lineRule="exact"/>
        <w:ind w:firstLine="602" w:firstLineChars="200"/>
        <w:rPr>
          <w:rFonts w:ascii="黑体" w:hAnsi="黑体" w:eastAsia="黑体"/>
          <w:sz w:val="30"/>
          <w:szCs w:val="30"/>
        </w:rPr>
      </w:pPr>
      <w:bookmarkStart w:id="4" w:name="_Toc1101039957"/>
      <w:bookmarkStart w:id="5" w:name="_Toc698509467"/>
      <w:bookmarkStart w:id="6" w:name="_Toc909979739"/>
      <w:bookmarkStart w:id="7" w:name="_Toc1747823728"/>
      <w:r>
        <w:rPr>
          <w:rFonts w:hint="eastAsia" w:ascii="黑体" w:hAnsi="黑体" w:eastAsia="黑体"/>
          <w:sz w:val="30"/>
          <w:szCs w:val="30"/>
        </w:rPr>
        <w:t>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滨海新区机关事务管理局的主要职责是：负责本级机关事务管理，指导和监督下级机关事务管理工作；负责全区公务用车管理，制定公务用车管理办法和规章制度并组织实施，组织实施全区公务用车编制审批，负责区级机关公务用车日常管理；负责区直机关节能工作。</w:t>
      </w:r>
    </w:p>
    <w:p>
      <w:pPr>
        <w:pStyle w:val="3"/>
        <w:spacing w:before="0" w:after="0" w:line="800" w:lineRule="exact"/>
        <w:ind w:firstLine="602" w:firstLineChars="200"/>
        <w:rPr>
          <w:rFonts w:ascii="黑体" w:hAnsi="黑体" w:eastAsia="黑体"/>
          <w:sz w:val="30"/>
          <w:szCs w:val="30"/>
        </w:rPr>
      </w:pPr>
      <w:bookmarkStart w:id="8" w:name="_Toc1798423086"/>
      <w:bookmarkStart w:id="9" w:name="_Toc244589183"/>
      <w:bookmarkStart w:id="10" w:name="_Toc1702997367"/>
      <w:bookmarkStart w:id="11" w:name="_Toc311971100"/>
      <w:r>
        <w:rPr>
          <w:rFonts w:hint="eastAsia" w:ascii="黑体" w:hAnsi="黑体" w:eastAsia="黑体"/>
          <w:sz w:val="30"/>
          <w:szCs w:val="30"/>
        </w:rPr>
        <w:t>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天津市滨海新区机关事务管理局内设2个职能处室；下辖0个预算单位；纳入天津市滨海新区机关事务管理局2024年度部门决算编制范围的单位包括：</w:t>
      </w:r>
    </w:p>
    <w:p>
      <w:pPr>
        <w:spacing w:line="600" w:lineRule="exact"/>
        <w:rPr>
          <w:rFonts w:ascii="仿宋_GB2312" w:eastAsia="仿宋_GB2312"/>
          <w:sz w:val="30"/>
          <w:szCs w:val="30"/>
        </w:rPr>
      </w:pPr>
      <w:r>
        <w:rPr>
          <w:rFonts w:hint="eastAsia" w:ascii="仿宋_GB2312" w:eastAsia="仿宋_GB2312"/>
          <w:sz w:val="30"/>
          <w:szCs w:val="30"/>
        </w:rPr>
        <w:t xml:space="preserve">    天津市滨海新区机关事务管理局。</w:t>
      </w:r>
    </w:p>
    <w:p>
      <w:pPr>
        <w:spacing w:line="580" w:lineRule="exact"/>
        <w:jc w:val="center"/>
        <w:rPr>
          <w:rFonts w:eastAsia="黑体"/>
          <w:w w:val="95"/>
          <w:sz w:val="44"/>
          <w:szCs w:val="44"/>
        </w:rPr>
      </w:pPr>
      <w:r>
        <w:br w:type="page"/>
      </w:r>
      <w:bookmarkStart w:id="12" w:name="_Toc1290695373"/>
      <w:bookmarkStart w:id="13" w:name="_Toc264474877"/>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pPr>
        <w:spacing w:line="600" w:lineRule="exact"/>
        <w:jc w:val="center"/>
      </w:pPr>
    </w:p>
    <w:p>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17" w:name="_Toc984815664"/>
      <w:bookmarkStart w:id="18" w:name="_Toc291121727"/>
      <w:bookmarkStart w:id="19" w:name="_Toc1865768001"/>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156,835,725.16</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pPr>
              <w:snapToGrid w:val="0"/>
              <w:jc w:val="right"/>
            </w:pPr>
            <w:r>
              <w:rPr>
                <w:rFonts w:ascii="宋体" w:hAnsi="宋体" w:eastAsia="宋体" w:cs="宋体"/>
                <w:b w:val="0"/>
                <w:i w:val="0"/>
                <w:color w:val="000000"/>
                <w:sz w:val="23"/>
              </w:rPr>
              <w:t>156,835,725.16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156,835,725.16</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156,835,725.16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156,835,725.16</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156,835,725.16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13238" w:type="dxa"/>
            <w:gridSpan w:val="4"/>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156,835,725.16</w:t>
            </w:r>
          </w:p>
        </w:tc>
        <w:tc>
          <w:tcPr>
            <w:tcW w:w="1240" w:type="dxa"/>
            <w:vAlign w:val="center"/>
          </w:tcPr>
          <w:p>
            <w:pPr>
              <w:snapToGrid w:val="0"/>
              <w:jc w:val="right"/>
            </w:pPr>
            <w:r>
              <w:rPr>
                <w:rFonts w:ascii="宋体" w:hAnsi="宋体" w:eastAsia="宋体" w:cs="宋体"/>
                <w:b w:val="0"/>
                <w:i w:val="0"/>
                <w:color w:val="000000"/>
                <w:sz w:val="14"/>
              </w:rPr>
              <w:t>156,835,725.16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w:t>
            </w:r>
          </w:p>
        </w:tc>
        <w:tc>
          <w:tcPr>
            <w:tcW w:w="2520" w:type="dxa"/>
            <w:vAlign w:val="center"/>
          </w:tcPr>
          <w:p>
            <w:pPr>
              <w:snapToGrid w:val="0"/>
              <w:jc w:val="left"/>
            </w:pPr>
            <w:r>
              <w:rPr>
                <w:rFonts w:ascii="宋体" w:hAnsi="宋体" w:eastAsia="宋体" w:cs="宋体"/>
                <w:b w:val="0"/>
                <w:i w:val="0"/>
                <w:color w:val="000000"/>
                <w:sz w:val="14"/>
              </w:rPr>
              <w:t>一般公共服务支出</w:t>
            </w:r>
          </w:p>
        </w:tc>
        <w:tc>
          <w:tcPr>
            <w:tcW w:w="1240" w:type="dxa"/>
            <w:vAlign w:val="center"/>
          </w:tcPr>
          <w:p>
            <w:pPr>
              <w:snapToGrid w:val="0"/>
              <w:jc w:val="right"/>
            </w:pPr>
            <w:r>
              <w:rPr>
                <w:rFonts w:ascii="宋体" w:hAnsi="宋体" w:eastAsia="宋体" w:cs="宋体"/>
                <w:b w:val="0"/>
                <w:i w:val="0"/>
                <w:color w:val="000000"/>
                <w:sz w:val="14"/>
              </w:rPr>
              <w:t>156,835,725.16</w:t>
            </w:r>
          </w:p>
        </w:tc>
        <w:tc>
          <w:tcPr>
            <w:tcW w:w="1240" w:type="dxa"/>
            <w:vAlign w:val="center"/>
          </w:tcPr>
          <w:p>
            <w:pPr>
              <w:snapToGrid w:val="0"/>
              <w:jc w:val="right"/>
            </w:pPr>
            <w:r>
              <w:rPr>
                <w:rFonts w:ascii="宋体" w:hAnsi="宋体" w:eastAsia="宋体" w:cs="宋体"/>
                <w:b w:val="0"/>
                <w:i w:val="0"/>
                <w:color w:val="000000"/>
                <w:sz w:val="14"/>
              </w:rPr>
              <w:t>156,835,725.16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20103</w:t>
            </w:r>
          </w:p>
        </w:tc>
        <w:tc>
          <w:tcPr>
            <w:tcW w:w="2520" w:type="dxa"/>
            <w:vAlign w:val="center"/>
          </w:tcPr>
          <w:p>
            <w:pPr>
              <w:snapToGrid w:val="0"/>
              <w:jc w:val="left"/>
            </w:pPr>
            <w:r>
              <w:rPr>
                <w:rFonts w:ascii="宋体" w:hAnsi="宋体" w:eastAsia="宋体" w:cs="宋体"/>
                <w:b w:val="0"/>
                <w:i w:val="0"/>
                <w:color w:val="000000"/>
                <w:sz w:val="14"/>
              </w:rPr>
              <w:t>政府办公厅（室）及相关机构事务</w:t>
            </w:r>
          </w:p>
        </w:tc>
        <w:tc>
          <w:tcPr>
            <w:tcW w:w="1240" w:type="dxa"/>
            <w:vAlign w:val="center"/>
          </w:tcPr>
          <w:p>
            <w:pPr>
              <w:snapToGrid w:val="0"/>
              <w:jc w:val="right"/>
            </w:pPr>
            <w:r>
              <w:rPr>
                <w:rFonts w:ascii="宋体" w:hAnsi="宋体" w:eastAsia="宋体" w:cs="宋体"/>
                <w:b w:val="0"/>
                <w:i w:val="0"/>
                <w:color w:val="000000"/>
                <w:sz w:val="14"/>
              </w:rPr>
              <w:t>156,835,725.16</w:t>
            </w:r>
          </w:p>
        </w:tc>
        <w:tc>
          <w:tcPr>
            <w:tcW w:w="1240" w:type="dxa"/>
            <w:vAlign w:val="center"/>
          </w:tcPr>
          <w:p>
            <w:pPr>
              <w:snapToGrid w:val="0"/>
              <w:jc w:val="right"/>
            </w:pPr>
            <w:r>
              <w:rPr>
                <w:rFonts w:ascii="宋体" w:hAnsi="宋体" w:eastAsia="宋体" w:cs="宋体"/>
                <w:b w:val="0"/>
                <w:i w:val="0"/>
                <w:color w:val="000000"/>
                <w:sz w:val="14"/>
              </w:rPr>
              <w:t>156,835,725.16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2010301</w:t>
            </w:r>
          </w:p>
        </w:tc>
        <w:tc>
          <w:tcPr>
            <w:tcW w:w="2520" w:type="dxa"/>
            <w:vAlign w:val="center"/>
          </w:tcPr>
          <w:p>
            <w:pPr>
              <w:snapToGrid w:val="0"/>
              <w:jc w:val="left"/>
            </w:pPr>
            <w:r>
              <w:rPr>
                <w:rFonts w:ascii="宋体" w:hAnsi="宋体" w:eastAsia="宋体" w:cs="宋体"/>
                <w:b w:val="0"/>
                <w:i w:val="0"/>
                <w:color w:val="000000"/>
                <w:sz w:val="14"/>
              </w:rPr>
              <w:t>行政运行</w:t>
            </w:r>
          </w:p>
        </w:tc>
        <w:tc>
          <w:tcPr>
            <w:tcW w:w="1240" w:type="dxa"/>
            <w:vAlign w:val="center"/>
          </w:tcPr>
          <w:p>
            <w:pPr>
              <w:snapToGrid w:val="0"/>
              <w:jc w:val="right"/>
            </w:pPr>
            <w:r>
              <w:rPr>
                <w:rFonts w:ascii="宋体" w:hAnsi="宋体" w:eastAsia="宋体" w:cs="宋体"/>
                <w:b w:val="0"/>
                <w:i w:val="0"/>
                <w:color w:val="000000"/>
                <w:sz w:val="14"/>
              </w:rPr>
              <w:t>156,835,725.16</w:t>
            </w:r>
          </w:p>
        </w:tc>
        <w:tc>
          <w:tcPr>
            <w:tcW w:w="1240" w:type="dxa"/>
            <w:vAlign w:val="center"/>
          </w:tcPr>
          <w:p>
            <w:pPr>
              <w:snapToGrid w:val="0"/>
              <w:jc w:val="right"/>
            </w:pPr>
            <w:r>
              <w:rPr>
                <w:rFonts w:ascii="宋体" w:hAnsi="宋体" w:eastAsia="宋体" w:cs="宋体"/>
                <w:b w:val="0"/>
                <w:i w:val="0"/>
                <w:color w:val="000000"/>
                <w:sz w:val="14"/>
              </w:rPr>
              <w:t>156,835,725.16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156,835,725.16</w:t>
            </w:r>
          </w:p>
        </w:tc>
        <w:tc>
          <w:tcPr>
            <w:tcW w:w="580" w:type="dxa"/>
            <w:vAlign w:val="center"/>
          </w:tcPr>
          <w:p>
            <w:pPr>
              <w:snapToGrid w:val="0"/>
              <w:jc w:val="right"/>
            </w:pPr>
            <w:r>
              <w:rPr>
                <w:rFonts w:ascii="宋体" w:hAnsi="宋体" w:eastAsia="宋体" w:cs="宋体"/>
                <w:b w:val="0"/>
                <w:i w:val="0"/>
                <w:color w:val="000000"/>
                <w:sz w:val="9"/>
              </w:rPr>
              <w:t>156,835,725.16</w:t>
            </w:r>
          </w:p>
        </w:tc>
        <w:tc>
          <w:tcPr>
            <w:tcW w:w="580" w:type="dxa"/>
            <w:vAlign w:val="center"/>
          </w:tcPr>
          <w:p>
            <w:pPr>
              <w:snapToGrid w:val="0"/>
              <w:jc w:val="right"/>
            </w:pPr>
            <w:r>
              <w:rPr>
                <w:rFonts w:ascii="宋体" w:hAnsi="宋体" w:eastAsia="宋体" w:cs="宋体"/>
                <w:b w:val="0"/>
                <w:i w:val="0"/>
                <w:color w:val="000000"/>
                <w:sz w:val="9"/>
              </w:rPr>
              <w:t>156,835,725.16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301102</w:t>
            </w:r>
          </w:p>
        </w:tc>
        <w:tc>
          <w:tcPr>
            <w:tcW w:w="1520" w:type="dxa"/>
            <w:vAlign w:val="center"/>
          </w:tcPr>
          <w:p>
            <w:pPr>
              <w:snapToGrid w:val="0"/>
              <w:jc w:val="center"/>
            </w:pPr>
            <w:r>
              <w:rPr>
                <w:rFonts w:ascii="宋体" w:hAnsi="宋体" w:eastAsia="宋体" w:cs="宋体"/>
                <w:b w:val="0"/>
                <w:i w:val="0"/>
                <w:color w:val="000000"/>
                <w:sz w:val="9"/>
              </w:rPr>
              <w:t>天津市滨海新区机关事务管理局</w:t>
            </w:r>
          </w:p>
        </w:tc>
        <w:tc>
          <w:tcPr>
            <w:tcW w:w="580" w:type="dxa"/>
            <w:vAlign w:val="center"/>
          </w:tcPr>
          <w:p>
            <w:pPr>
              <w:snapToGrid w:val="0"/>
              <w:jc w:val="right"/>
            </w:pPr>
            <w:r>
              <w:rPr>
                <w:rFonts w:ascii="宋体" w:hAnsi="宋体" w:eastAsia="宋体" w:cs="宋体"/>
                <w:b w:val="0"/>
                <w:i w:val="0"/>
                <w:color w:val="000000"/>
                <w:sz w:val="9"/>
              </w:rPr>
              <w:t>156,835,725.16</w:t>
            </w:r>
          </w:p>
        </w:tc>
        <w:tc>
          <w:tcPr>
            <w:tcW w:w="580" w:type="dxa"/>
            <w:vAlign w:val="center"/>
          </w:tcPr>
          <w:p>
            <w:pPr>
              <w:snapToGrid w:val="0"/>
              <w:jc w:val="right"/>
            </w:pPr>
            <w:r>
              <w:rPr>
                <w:rFonts w:ascii="宋体" w:hAnsi="宋体" w:eastAsia="宋体" w:cs="宋体"/>
                <w:b w:val="0"/>
                <w:i w:val="0"/>
                <w:color w:val="000000"/>
                <w:sz w:val="9"/>
              </w:rPr>
              <w:t>156,835,725.16</w:t>
            </w:r>
          </w:p>
        </w:tc>
        <w:tc>
          <w:tcPr>
            <w:tcW w:w="580" w:type="dxa"/>
            <w:vAlign w:val="center"/>
          </w:tcPr>
          <w:p>
            <w:pPr>
              <w:snapToGrid w:val="0"/>
              <w:jc w:val="right"/>
            </w:pPr>
            <w:r>
              <w:rPr>
                <w:rFonts w:ascii="宋体" w:hAnsi="宋体" w:eastAsia="宋体" w:cs="宋体"/>
                <w:b w:val="0"/>
                <w:i w:val="0"/>
                <w:color w:val="000000"/>
                <w:sz w:val="9"/>
              </w:rPr>
              <w:t>156,835,725.16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156,835,725.16</w:t>
            </w:r>
          </w:p>
        </w:tc>
        <w:tc>
          <w:tcPr>
            <w:tcW w:w="1320" w:type="dxa"/>
            <w:vAlign w:val="center"/>
          </w:tcPr>
          <w:p>
            <w:pPr>
              <w:snapToGrid w:val="0"/>
              <w:jc w:val="right"/>
            </w:pPr>
            <w:r>
              <w:rPr>
                <w:rFonts w:ascii="宋体" w:hAnsi="宋体" w:eastAsia="宋体" w:cs="宋体"/>
                <w:b w:val="0"/>
                <w:i w:val="0"/>
                <w:color w:val="000000"/>
                <w:sz w:val="15"/>
              </w:rPr>
              <w:t>6,267,292.68</w:t>
            </w:r>
          </w:p>
        </w:tc>
        <w:tc>
          <w:tcPr>
            <w:tcW w:w="1320" w:type="dxa"/>
            <w:vAlign w:val="center"/>
          </w:tcPr>
          <w:p>
            <w:pPr>
              <w:snapToGrid w:val="0"/>
              <w:jc w:val="right"/>
            </w:pPr>
            <w:r>
              <w:rPr>
                <w:rFonts w:ascii="宋体" w:hAnsi="宋体" w:eastAsia="宋体" w:cs="宋体"/>
                <w:b w:val="0"/>
                <w:i w:val="0"/>
                <w:color w:val="000000"/>
                <w:sz w:val="15"/>
              </w:rPr>
              <w:t>150,568,432.48</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w:t>
            </w:r>
          </w:p>
        </w:tc>
        <w:tc>
          <w:tcPr>
            <w:tcW w:w="4400" w:type="dxa"/>
            <w:vAlign w:val="center"/>
          </w:tcPr>
          <w:p>
            <w:pPr>
              <w:snapToGrid w:val="0"/>
              <w:jc w:val="left"/>
            </w:pPr>
            <w:r>
              <w:rPr>
                <w:rFonts w:ascii="宋体" w:hAnsi="宋体" w:eastAsia="宋体" w:cs="宋体"/>
                <w:b w:val="0"/>
                <w:i w:val="0"/>
                <w:color w:val="000000"/>
                <w:sz w:val="15"/>
              </w:rPr>
              <w:t>一般公共服务支出</w:t>
            </w:r>
          </w:p>
        </w:tc>
        <w:tc>
          <w:tcPr>
            <w:tcW w:w="1320" w:type="dxa"/>
            <w:vAlign w:val="center"/>
          </w:tcPr>
          <w:p>
            <w:pPr>
              <w:snapToGrid w:val="0"/>
              <w:jc w:val="right"/>
            </w:pPr>
            <w:r>
              <w:rPr>
                <w:rFonts w:ascii="宋体" w:hAnsi="宋体" w:eastAsia="宋体" w:cs="宋体"/>
                <w:b w:val="0"/>
                <w:i w:val="0"/>
                <w:color w:val="000000"/>
                <w:sz w:val="15"/>
              </w:rPr>
              <w:t>156,835,725.16</w:t>
            </w:r>
          </w:p>
        </w:tc>
        <w:tc>
          <w:tcPr>
            <w:tcW w:w="1320" w:type="dxa"/>
            <w:vAlign w:val="center"/>
          </w:tcPr>
          <w:p>
            <w:pPr>
              <w:snapToGrid w:val="0"/>
              <w:jc w:val="right"/>
            </w:pPr>
            <w:r>
              <w:rPr>
                <w:rFonts w:ascii="宋体" w:hAnsi="宋体" w:eastAsia="宋体" w:cs="宋体"/>
                <w:b w:val="0"/>
                <w:i w:val="0"/>
                <w:color w:val="000000"/>
                <w:sz w:val="15"/>
              </w:rPr>
              <w:t>6,267,292.68</w:t>
            </w:r>
          </w:p>
        </w:tc>
        <w:tc>
          <w:tcPr>
            <w:tcW w:w="1320" w:type="dxa"/>
            <w:vAlign w:val="center"/>
          </w:tcPr>
          <w:p>
            <w:pPr>
              <w:snapToGrid w:val="0"/>
              <w:jc w:val="right"/>
            </w:pPr>
            <w:r>
              <w:rPr>
                <w:rFonts w:ascii="宋体" w:hAnsi="宋体" w:eastAsia="宋体" w:cs="宋体"/>
                <w:b w:val="0"/>
                <w:i w:val="0"/>
                <w:color w:val="000000"/>
                <w:sz w:val="15"/>
              </w:rPr>
              <w:t>150,568,432.48</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20103</w:t>
            </w:r>
          </w:p>
        </w:tc>
        <w:tc>
          <w:tcPr>
            <w:tcW w:w="4400" w:type="dxa"/>
            <w:vAlign w:val="center"/>
          </w:tcPr>
          <w:p>
            <w:pPr>
              <w:snapToGrid w:val="0"/>
              <w:jc w:val="left"/>
            </w:pPr>
            <w:r>
              <w:rPr>
                <w:rFonts w:ascii="宋体" w:hAnsi="宋体" w:eastAsia="宋体" w:cs="宋体"/>
                <w:b w:val="0"/>
                <w:i w:val="0"/>
                <w:color w:val="000000"/>
                <w:sz w:val="15"/>
              </w:rPr>
              <w:t>政府办公厅（室）及相关机构事务</w:t>
            </w:r>
          </w:p>
        </w:tc>
        <w:tc>
          <w:tcPr>
            <w:tcW w:w="1320" w:type="dxa"/>
            <w:vAlign w:val="center"/>
          </w:tcPr>
          <w:p>
            <w:pPr>
              <w:snapToGrid w:val="0"/>
              <w:jc w:val="right"/>
            </w:pPr>
            <w:r>
              <w:rPr>
                <w:rFonts w:ascii="宋体" w:hAnsi="宋体" w:eastAsia="宋体" w:cs="宋体"/>
                <w:b w:val="0"/>
                <w:i w:val="0"/>
                <w:color w:val="000000"/>
                <w:sz w:val="15"/>
              </w:rPr>
              <w:t>156,835,725.16</w:t>
            </w:r>
          </w:p>
        </w:tc>
        <w:tc>
          <w:tcPr>
            <w:tcW w:w="1320" w:type="dxa"/>
            <w:vAlign w:val="center"/>
          </w:tcPr>
          <w:p>
            <w:pPr>
              <w:snapToGrid w:val="0"/>
              <w:jc w:val="right"/>
            </w:pPr>
            <w:r>
              <w:rPr>
                <w:rFonts w:ascii="宋体" w:hAnsi="宋体" w:eastAsia="宋体" w:cs="宋体"/>
                <w:b w:val="0"/>
                <w:i w:val="0"/>
                <w:color w:val="000000"/>
                <w:sz w:val="15"/>
              </w:rPr>
              <w:t>6,267,292.68</w:t>
            </w:r>
          </w:p>
        </w:tc>
        <w:tc>
          <w:tcPr>
            <w:tcW w:w="1320" w:type="dxa"/>
            <w:vAlign w:val="center"/>
          </w:tcPr>
          <w:p>
            <w:pPr>
              <w:snapToGrid w:val="0"/>
              <w:jc w:val="right"/>
            </w:pPr>
            <w:r>
              <w:rPr>
                <w:rFonts w:ascii="宋体" w:hAnsi="宋体" w:eastAsia="宋体" w:cs="宋体"/>
                <w:b w:val="0"/>
                <w:i w:val="0"/>
                <w:color w:val="000000"/>
                <w:sz w:val="15"/>
              </w:rPr>
              <w:t>150,568,432.48</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2010301</w:t>
            </w:r>
          </w:p>
        </w:tc>
        <w:tc>
          <w:tcPr>
            <w:tcW w:w="4400" w:type="dxa"/>
            <w:vAlign w:val="center"/>
          </w:tcPr>
          <w:p>
            <w:pPr>
              <w:snapToGrid w:val="0"/>
              <w:jc w:val="left"/>
            </w:pPr>
            <w:r>
              <w:rPr>
                <w:rFonts w:ascii="宋体" w:hAnsi="宋体" w:eastAsia="宋体" w:cs="宋体"/>
                <w:b w:val="0"/>
                <w:i w:val="0"/>
                <w:color w:val="000000"/>
                <w:sz w:val="15"/>
              </w:rPr>
              <w:t>行政运行</w:t>
            </w:r>
          </w:p>
        </w:tc>
        <w:tc>
          <w:tcPr>
            <w:tcW w:w="1320" w:type="dxa"/>
            <w:vAlign w:val="center"/>
          </w:tcPr>
          <w:p>
            <w:pPr>
              <w:snapToGrid w:val="0"/>
              <w:jc w:val="right"/>
            </w:pPr>
            <w:r>
              <w:rPr>
                <w:rFonts w:ascii="宋体" w:hAnsi="宋体" w:eastAsia="宋体" w:cs="宋体"/>
                <w:b w:val="0"/>
                <w:i w:val="0"/>
                <w:color w:val="000000"/>
                <w:sz w:val="15"/>
              </w:rPr>
              <w:t>156,835,725.16</w:t>
            </w:r>
          </w:p>
        </w:tc>
        <w:tc>
          <w:tcPr>
            <w:tcW w:w="1320" w:type="dxa"/>
            <w:vAlign w:val="center"/>
          </w:tcPr>
          <w:p>
            <w:pPr>
              <w:snapToGrid w:val="0"/>
              <w:jc w:val="right"/>
            </w:pPr>
            <w:r>
              <w:rPr>
                <w:rFonts w:ascii="宋体" w:hAnsi="宋体" w:eastAsia="宋体" w:cs="宋体"/>
                <w:b w:val="0"/>
                <w:i w:val="0"/>
                <w:color w:val="000000"/>
                <w:sz w:val="15"/>
              </w:rPr>
              <w:t>6,267,292.68</w:t>
            </w:r>
          </w:p>
        </w:tc>
        <w:tc>
          <w:tcPr>
            <w:tcW w:w="1320" w:type="dxa"/>
            <w:vAlign w:val="center"/>
          </w:tcPr>
          <w:p>
            <w:pPr>
              <w:snapToGrid w:val="0"/>
              <w:jc w:val="right"/>
            </w:pPr>
            <w:r>
              <w:rPr>
                <w:rFonts w:ascii="宋体" w:hAnsi="宋体" w:eastAsia="宋体" w:cs="宋体"/>
                <w:b w:val="0"/>
                <w:i w:val="0"/>
                <w:color w:val="000000"/>
                <w:sz w:val="15"/>
              </w:rPr>
              <w:t>150,568,432.48</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156,835,725.16</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pPr>
              <w:snapToGrid w:val="0"/>
              <w:jc w:val="right"/>
            </w:pPr>
            <w:r>
              <w:rPr>
                <w:rFonts w:ascii="宋体" w:hAnsi="宋体" w:eastAsia="宋体" w:cs="宋体"/>
                <w:b w:val="0"/>
                <w:i w:val="0"/>
                <w:color w:val="000000"/>
                <w:sz w:val="16"/>
              </w:rPr>
              <w:t>156,835,725.16</w:t>
            </w:r>
          </w:p>
        </w:tc>
        <w:tc>
          <w:tcPr>
            <w:tcW w:w="1420" w:type="dxa"/>
            <w:vAlign w:val="center"/>
          </w:tcPr>
          <w:p>
            <w:pPr>
              <w:snapToGrid w:val="0"/>
              <w:jc w:val="right"/>
            </w:pPr>
            <w:r>
              <w:rPr>
                <w:rFonts w:ascii="宋体" w:hAnsi="宋体" w:eastAsia="宋体" w:cs="宋体"/>
                <w:b w:val="0"/>
                <w:i w:val="0"/>
                <w:color w:val="000000"/>
                <w:sz w:val="16"/>
              </w:rPr>
              <w:t>156,835,725.16</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156,835,725.16</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156,835,725.16</w:t>
            </w:r>
          </w:p>
        </w:tc>
        <w:tc>
          <w:tcPr>
            <w:tcW w:w="1420" w:type="dxa"/>
            <w:vAlign w:val="center"/>
          </w:tcPr>
          <w:p>
            <w:pPr>
              <w:snapToGrid w:val="0"/>
              <w:jc w:val="right"/>
            </w:pPr>
            <w:r>
              <w:rPr>
                <w:rFonts w:ascii="宋体" w:hAnsi="宋体" w:eastAsia="宋体" w:cs="宋体"/>
                <w:b w:val="0"/>
                <w:i w:val="0"/>
                <w:color w:val="000000"/>
                <w:sz w:val="16"/>
              </w:rPr>
              <w:t>156,835,725.16</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156,835,725.16</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156,835,725.16</w:t>
            </w:r>
          </w:p>
        </w:tc>
        <w:tc>
          <w:tcPr>
            <w:tcW w:w="1420" w:type="dxa"/>
            <w:vAlign w:val="center"/>
          </w:tcPr>
          <w:p>
            <w:pPr>
              <w:snapToGrid w:val="0"/>
              <w:jc w:val="right"/>
            </w:pPr>
            <w:r>
              <w:rPr>
                <w:rFonts w:ascii="宋体" w:hAnsi="宋体" w:eastAsia="宋体" w:cs="宋体"/>
                <w:b w:val="0"/>
                <w:i w:val="0"/>
                <w:color w:val="000000"/>
                <w:sz w:val="16"/>
              </w:rPr>
              <w:t>156,835,725.16</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156,835,725.16</w:t>
            </w:r>
          </w:p>
        </w:tc>
        <w:tc>
          <w:tcPr>
            <w:tcW w:w="1720" w:type="dxa"/>
            <w:vAlign w:val="center"/>
          </w:tcPr>
          <w:p>
            <w:pPr>
              <w:snapToGrid w:val="0"/>
              <w:jc w:val="right"/>
            </w:pPr>
            <w:r>
              <w:rPr>
                <w:rFonts w:ascii="宋体" w:hAnsi="宋体" w:eastAsia="宋体" w:cs="宋体"/>
                <w:b w:val="0"/>
                <w:i w:val="0"/>
                <w:color w:val="000000"/>
                <w:sz w:val="20"/>
              </w:rPr>
              <w:t>6,267,292.68</w:t>
            </w:r>
          </w:p>
        </w:tc>
        <w:tc>
          <w:tcPr>
            <w:tcW w:w="1720" w:type="dxa"/>
            <w:vAlign w:val="center"/>
          </w:tcPr>
          <w:p>
            <w:pPr>
              <w:snapToGrid w:val="0"/>
              <w:jc w:val="right"/>
            </w:pPr>
            <w:r>
              <w:rPr>
                <w:rFonts w:ascii="宋体" w:hAnsi="宋体" w:eastAsia="宋体" w:cs="宋体"/>
                <w:b w:val="0"/>
                <w:i w:val="0"/>
                <w:color w:val="000000"/>
                <w:sz w:val="20"/>
              </w:rPr>
              <w:t>2,315,609.27</w:t>
            </w:r>
          </w:p>
        </w:tc>
        <w:tc>
          <w:tcPr>
            <w:tcW w:w="1720" w:type="dxa"/>
            <w:vAlign w:val="center"/>
          </w:tcPr>
          <w:p>
            <w:pPr>
              <w:snapToGrid w:val="0"/>
              <w:jc w:val="right"/>
            </w:pPr>
            <w:r>
              <w:rPr>
                <w:rFonts w:ascii="宋体" w:hAnsi="宋体" w:eastAsia="宋体" w:cs="宋体"/>
                <w:b w:val="0"/>
                <w:i w:val="0"/>
                <w:color w:val="000000"/>
                <w:sz w:val="20"/>
              </w:rPr>
              <w:t>3,951,683.41</w:t>
            </w:r>
          </w:p>
        </w:tc>
        <w:tc>
          <w:tcPr>
            <w:tcW w:w="1698" w:type="dxa"/>
            <w:vAlign w:val="center"/>
          </w:tcPr>
          <w:p>
            <w:pPr>
              <w:snapToGrid w:val="0"/>
              <w:jc w:val="right"/>
            </w:pPr>
            <w:r>
              <w:rPr>
                <w:rFonts w:ascii="宋体" w:hAnsi="宋体" w:eastAsia="宋体" w:cs="宋体"/>
                <w:b w:val="0"/>
                <w:i w:val="0"/>
                <w:color w:val="000000"/>
                <w:sz w:val="20"/>
              </w:rPr>
              <w:t>150,568,432.48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w:t>
            </w:r>
          </w:p>
        </w:tc>
        <w:tc>
          <w:tcPr>
            <w:tcW w:w="3480" w:type="dxa"/>
            <w:vAlign w:val="center"/>
          </w:tcPr>
          <w:p>
            <w:pPr>
              <w:snapToGrid w:val="0"/>
              <w:jc w:val="left"/>
            </w:pPr>
            <w:r>
              <w:rPr>
                <w:rFonts w:ascii="宋体" w:hAnsi="宋体" w:eastAsia="宋体" w:cs="宋体"/>
                <w:b w:val="0"/>
                <w:i w:val="0"/>
                <w:color w:val="000000"/>
                <w:sz w:val="20"/>
              </w:rPr>
              <w:t>一般公共服务支出</w:t>
            </w:r>
          </w:p>
        </w:tc>
        <w:tc>
          <w:tcPr>
            <w:tcW w:w="1720" w:type="dxa"/>
            <w:vAlign w:val="center"/>
          </w:tcPr>
          <w:p>
            <w:pPr>
              <w:snapToGrid w:val="0"/>
              <w:jc w:val="right"/>
            </w:pPr>
            <w:r>
              <w:rPr>
                <w:rFonts w:ascii="宋体" w:hAnsi="宋体" w:eastAsia="宋体" w:cs="宋体"/>
                <w:b w:val="0"/>
                <w:i w:val="0"/>
                <w:color w:val="000000"/>
                <w:sz w:val="20"/>
              </w:rPr>
              <w:t>156,835,725.16</w:t>
            </w:r>
          </w:p>
        </w:tc>
        <w:tc>
          <w:tcPr>
            <w:tcW w:w="1720" w:type="dxa"/>
            <w:vAlign w:val="center"/>
          </w:tcPr>
          <w:p>
            <w:pPr>
              <w:snapToGrid w:val="0"/>
              <w:jc w:val="right"/>
            </w:pPr>
            <w:r>
              <w:rPr>
                <w:rFonts w:ascii="宋体" w:hAnsi="宋体" w:eastAsia="宋体" w:cs="宋体"/>
                <w:b w:val="0"/>
                <w:i w:val="0"/>
                <w:color w:val="000000"/>
                <w:sz w:val="20"/>
              </w:rPr>
              <w:t>6,267,292.68</w:t>
            </w:r>
          </w:p>
        </w:tc>
        <w:tc>
          <w:tcPr>
            <w:tcW w:w="1720" w:type="dxa"/>
            <w:vAlign w:val="center"/>
          </w:tcPr>
          <w:p>
            <w:pPr>
              <w:snapToGrid w:val="0"/>
              <w:jc w:val="right"/>
            </w:pPr>
            <w:r>
              <w:rPr>
                <w:rFonts w:ascii="宋体" w:hAnsi="宋体" w:eastAsia="宋体" w:cs="宋体"/>
                <w:b w:val="0"/>
                <w:i w:val="0"/>
                <w:color w:val="000000"/>
                <w:sz w:val="20"/>
              </w:rPr>
              <w:t>2,315,609.27</w:t>
            </w:r>
          </w:p>
        </w:tc>
        <w:tc>
          <w:tcPr>
            <w:tcW w:w="1720" w:type="dxa"/>
            <w:vAlign w:val="center"/>
          </w:tcPr>
          <w:p>
            <w:pPr>
              <w:snapToGrid w:val="0"/>
              <w:jc w:val="right"/>
            </w:pPr>
            <w:r>
              <w:rPr>
                <w:rFonts w:ascii="宋体" w:hAnsi="宋体" w:eastAsia="宋体" w:cs="宋体"/>
                <w:b w:val="0"/>
                <w:i w:val="0"/>
                <w:color w:val="000000"/>
                <w:sz w:val="20"/>
              </w:rPr>
              <w:t>3,951,683.41</w:t>
            </w:r>
          </w:p>
        </w:tc>
        <w:tc>
          <w:tcPr>
            <w:tcW w:w="1698" w:type="dxa"/>
            <w:vAlign w:val="center"/>
          </w:tcPr>
          <w:p>
            <w:pPr>
              <w:snapToGrid w:val="0"/>
              <w:jc w:val="right"/>
            </w:pPr>
            <w:r>
              <w:rPr>
                <w:rFonts w:ascii="宋体" w:hAnsi="宋体" w:eastAsia="宋体" w:cs="宋体"/>
                <w:b w:val="0"/>
                <w:i w:val="0"/>
                <w:color w:val="000000"/>
                <w:sz w:val="20"/>
              </w:rPr>
              <w:t>150,568,432.48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20103</w:t>
            </w:r>
          </w:p>
        </w:tc>
        <w:tc>
          <w:tcPr>
            <w:tcW w:w="3480" w:type="dxa"/>
            <w:vAlign w:val="center"/>
          </w:tcPr>
          <w:p>
            <w:pPr>
              <w:snapToGrid w:val="0"/>
              <w:jc w:val="left"/>
            </w:pPr>
            <w:r>
              <w:rPr>
                <w:rFonts w:ascii="宋体" w:hAnsi="宋体" w:eastAsia="宋体" w:cs="宋体"/>
                <w:b w:val="0"/>
                <w:i w:val="0"/>
                <w:color w:val="000000"/>
                <w:sz w:val="20"/>
              </w:rPr>
              <w:t>政府办公厅（室）及相关机构事务</w:t>
            </w:r>
          </w:p>
        </w:tc>
        <w:tc>
          <w:tcPr>
            <w:tcW w:w="1720" w:type="dxa"/>
            <w:vAlign w:val="center"/>
          </w:tcPr>
          <w:p>
            <w:pPr>
              <w:snapToGrid w:val="0"/>
              <w:jc w:val="right"/>
            </w:pPr>
            <w:r>
              <w:rPr>
                <w:rFonts w:ascii="宋体" w:hAnsi="宋体" w:eastAsia="宋体" w:cs="宋体"/>
                <w:b w:val="0"/>
                <w:i w:val="0"/>
                <w:color w:val="000000"/>
                <w:sz w:val="20"/>
              </w:rPr>
              <w:t>156,835,725.16</w:t>
            </w:r>
          </w:p>
        </w:tc>
        <w:tc>
          <w:tcPr>
            <w:tcW w:w="1720" w:type="dxa"/>
            <w:vAlign w:val="center"/>
          </w:tcPr>
          <w:p>
            <w:pPr>
              <w:snapToGrid w:val="0"/>
              <w:jc w:val="right"/>
            </w:pPr>
            <w:r>
              <w:rPr>
                <w:rFonts w:ascii="宋体" w:hAnsi="宋体" w:eastAsia="宋体" w:cs="宋体"/>
                <w:b w:val="0"/>
                <w:i w:val="0"/>
                <w:color w:val="000000"/>
                <w:sz w:val="20"/>
              </w:rPr>
              <w:t>6,267,292.68</w:t>
            </w:r>
          </w:p>
        </w:tc>
        <w:tc>
          <w:tcPr>
            <w:tcW w:w="1720" w:type="dxa"/>
            <w:vAlign w:val="center"/>
          </w:tcPr>
          <w:p>
            <w:pPr>
              <w:snapToGrid w:val="0"/>
              <w:jc w:val="right"/>
            </w:pPr>
            <w:r>
              <w:rPr>
                <w:rFonts w:ascii="宋体" w:hAnsi="宋体" w:eastAsia="宋体" w:cs="宋体"/>
                <w:b w:val="0"/>
                <w:i w:val="0"/>
                <w:color w:val="000000"/>
                <w:sz w:val="20"/>
              </w:rPr>
              <w:t>2,315,609.27</w:t>
            </w:r>
          </w:p>
        </w:tc>
        <w:tc>
          <w:tcPr>
            <w:tcW w:w="1720" w:type="dxa"/>
            <w:vAlign w:val="center"/>
          </w:tcPr>
          <w:p>
            <w:pPr>
              <w:snapToGrid w:val="0"/>
              <w:jc w:val="right"/>
            </w:pPr>
            <w:r>
              <w:rPr>
                <w:rFonts w:ascii="宋体" w:hAnsi="宋体" w:eastAsia="宋体" w:cs="宋体"/>
                <w:b w:val="0"/>
                <w:i w:val="0"/>
                <w:color w:val="000000"/>
                <w:sz w:val="20"/>
              </w:rPr>
              <w:t>3,951,683.41</w:t>
            </w:r>
          </w:p>
        </w:tc>
        <w:tc>
          <w:tcPr>
            <w:tcW w:w="1698" w:type="dxa"/>
            <w:vAlign w:val="center"/>
          </w:tcPr>
          <w:p>
            <w:pPr>
              <w:snapToGrid w:val="0"/>
              <w:jc w:val="right"/>
            </w:pPr>
            <w:r>
              <w:rPr>
                <w:rFonts w:ascii="宋体" w:hAnsi="宋体" w:eastAsia="宋体" w:cs="宋体"/>
                <w:b w:val="0"/>
                <w:i w:val="0"/>
                <w:color w:val="000000"/>
                <w:sz w:val="20"/>
              </w:rPr>
              <w:t>150,568,432.48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2010301</w:t>
            </w:r>
          </w:p>
        </w:tc>
        <w:tc>
          <w:tcPr>
            <w:tcW w:w="3480" w:type="dxa"/>
            <w:vAlign w:val="center"/>
          </w:tcPr>
          <w:p>
            <w:pPr>
              <w:snapToGrid w:val="0"/>
              <w:jc w:val="left"/>
            </w:pPr>
            <w:r>
              <w:rPr>
                <w:rFonts w:ascii="宋体" w:hAnsi="宋体" w:eastAsia="宋体" w:cs="宋体"/>
                <w:b w:val="0"/>
                <w:i w:val="0"/>
                <w:color w:val="000000"/>
                <w:sz w:val="20"/>
              </w:rPr>
              <w:t>行政运行</w:t>
            </w:r>
          </w:p>
        </w:tc>
        <w:tc>
          <w:tcPr>
            <w:tcW w:w="1720" w:type="dxa"/>
            <w:vAlign w:val="center"/>
          </w:tcPr>
          <w:p>
            <w:pPr>
              <w:snapToGrid w:val="0"/>
              <w:jc w:val="right"/>
            </w:pPr>
            <w:r>
              <w:rPr>
                <w:rFonts w:ascii="宋体" w:hAnsi="宋体" w:eastAsia="宋体" w:cs="宋体"/>
                <w:b w:val="0"/>
                <w:i w:val="0"/>
                <w:color w:val="000000"/>
                <w:sz w:val="20"/>
              </w:rPr>
              <w:t>156,835,725.16</w:t>
            </w:r>
          </w:p>
        </w:tc>
        <w:tc>
          <w:tcPr>
            <w:tcW w:w="1720" w:type="dxa"/>
            <w:vAlign w:val="center"/>
          </w:tcPr>
          <w:p>
            <w:pPr>
              <w:snapToGrid w:val="0"/>
              <w:jc w:val="right"/>
            </w:pPr>
            <w:r>
              <w:rPr>
                <w:rFonts w:ascii="宋体" w:hAnsi="宋体" w:eastAsia="宋体" w:cs="宋体"/>
                <w:b w:val="0"/>
                <w:i w:val="0"/>
                <w:color w:val="000000"/>
                <w:sz w:val="20"/>
              </w:rPr>
              <w:t>6,267,292.68</w:t>
            </w:r>
          </w:p>
        </w:tc>
        <w:tc>
          <w:tcPr>
            <w:tcW w:w="1720" w:type="dxa"/>
            <w:vAlign w:val="center"/>
          </w:tcPr>
          <w:p>
            <w:pPr>
              <w:snapToGrid w:val="0"/>
              <w:jc w:val="right"/>
            </w:pPr>
            <w:r>
              <w:rPr>
                <w:rFonts w:ascii="宋体" w:hAnsi="宋体" w:eastAsia="宋体" w:cs="宋体"/>
                <w:b w:val="0"/>
                <w:i w:val="0"/>
                <w:color w:val="000000"/>
                <w:sz w:val="20"/>
              </w:rPr>
              <w:t>2,315,609.27</w:t>
            </w:r>
          </w:p>
        </w:tc>
        <w:tc>
          <w:tcPr>
            <w:tcW w:w="1720" w:type="dxa"/>
            <w:vAlign w:val="center"/>
          </w:tcPr>
          <w:p>
            <w:pPr>
              <w:snapToGrid w:val="0"/>
              <w:jc w:val="right"/>
            </w:pPr>
            <w:r>
              <w:rPr>
                <w:rFonts w:ascii="宋体" w:hAnsi="宋体" w:eastAsia="宋体" w:cs="宋体"/>
                <w:b w:val="0"/>
                <w:i w:val="0"/>
                <w:color w:val="000000"/>
                <w:sz w:val="20"/>
              </w:rPr>
              <w:t>3,951,683.41</w:t>
            </w:r>
          </w:p>
        </w:tc>
        <w:tc>
          <w:tcPr>
            <w:tcW w:w="1698" w:type="dxa"/>
            <w:vAlign w:val="center"/>
          </w:tcPr>
          <w:p>
            <w:pPr>
              <w:snapToGrid w:val="0"/>
              <w:jc w:val="right"/>
            </w:pPr>
            <w:r>
              <w:rPr>
                <w:rFonts w:ascii="宋体" w:hAnsi="宋体" w:eastAsia="宋体" w:cs="宋体"/>
                <w:b w:val="0"/>
                <w:i w:val="0"/>
                <w:color w:val="000000"/>
                <w:sz w:val="20"/>
              </w:rPr>
              <w:t>150,568,432.48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2,258,916.67</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3,936,184.41</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329,057.00</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261,372.83</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436,236.00</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pPr>
              <w:snapToGrid w:val="0"/>
              <w:jc w:val="right"/>
            </w:pPr>
            <w:r>
              <w:rPr>
                <w:rFonts w:ascii="宋体" w:hAnsi="宋体" w:eastAsia="宋体" w:cs="宋体"/>
                <w:b w:val="0"/>
                <w:i w:val="0"/>
                <w:color w:val="000000"/>
                <w:sz w:val="14"/>
              </w:rPr>
              <w:t>15,499.00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pPr>
              <w:snapToGrid w:val="0"/>
              <w:jc w:val="right"/>
            </w:pPr>
            <w:r>
              <w:rPr>
                <w:rFonts w:ascii="宋体" w:hAnsi="宋体" w:eastAsia="宋体" w:cs="宋体"/>
                <w:b w:val="0"/>
                <w:i w:val="0"/>
                <w:color w:val="000000"/>
                <w:sz w:val="14"/>
              </w:rPr>
              <w:t>468,139.00</w:t>
            </w: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pPr>
              <w:snapToGrid w:val="0"/>
              <w:jc w:val="right"/>
            </w:pPr>
            <w:r>
              <w:rPr>
                <w:rFonts w:ascii="宋体" w:hAnsi="宋体" w:eastAsia="宋体" w:cs="宋体"/>
                <w:b w:val="0"/>
                <w:i w:val="0"/>
                <w:color w:val="000000"/>
                <w:sz w:val="14"/>
              </w:rPr>
              <w:t>150,520.00</w:t>
            </w: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pPr>
              <w:snapToGrid w:val="0"/>
              <w:jc w:val="right"/>
            </w:pPr>
            <w:r>
              <w:rPr>
                <w:rFonts w:ascii="宋体" w:hAnsi="宋体" w:eastAsia="宋体" w:cs="宋体"/>
                <w:b w:val="0"/>
                <w:i w:val="0"/>
                <w:color w:val="000000"/>
                <w:sz w:val="14"/>
              </w:rPr>
              <w:t>15,499.00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149,164.64</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74,582.32</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pPr>
              <w:snapToGrid w:val="0"/>
              <w:jc w:val="right"/>
            </w:pPr>
            <w:r>
              <w:rPr>
                <w:rFonts w:ascii="宋体" w:hAnsi="宋体" w:eastAsia="宋体" w:cs="宋体"/>
                <w:b w:val="0"/>
                <w:i w:val="0"/>
                <w:color w:val="000000"/>
                <w:sz w:val="14"/>
              </w:rPr>
              <w:t>27,798.74</w:t>
            </w: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91,637.46</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pPr>
              <w:snapToGrid w:val="0"/>
              <w:jc w:val="right"/>
            </w:pPr>
            <w:r>
              <w:rPr>
                <w:rFonts w:ascii="宋体" w:hAnsi="宋体" w:eastAsia="宋体" w:cs="宋体"/>
                <w:b w:val="0"/>
                <w:i w:val="0"/>
                <w:color w:val="000000"/>
                <w:sz w:val="14"/>
              </w:rPr>
              <w:t>18,645.58</w:t>
            </w: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3,455.67</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pPr>
              <w:snapToGrid w:val="0"/>
              <w:jc w:val="right"/>
            </w:pPr>
            <w:r>
              <w:rPr>
                <w:rFonts w:ascii="宋体" w:hAnsi="宋体" w:eastAsia="宋体" w:cs="宋体"/>
                <w:b w:val="0"/>
                <w:i w:val="0"/>
                <w:color w:val="000000"/>
                <w:sz w:val="14"/>
              </w:rPr>
              <w:t>10,000.00</w:t>
            </w: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502,555.00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pPr>
              <w:snapToGrid w:val="0"/>
              <w:jc w:val="right"/>
            </w:pPr>
            <w:r>
              <w:rPr>
                <w:rFonts w:ascii="宋体" w:hAnsi="宋体" w:eastAsia="宋体" w:cs="宋体"/>
                <w:b w:val="0"/>
                <w:i w:val="0"/>
                <w:color w:val="000000"/>
                <w:sz w:val="14"/>
              </w:rPr>
              <w:t>185,444.00</w:t>
            </w: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56,692.60</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pPr>
              <w:snapToGrid w:val="0"/>
              <w:jc w:val="right"/>
            </w:pPr>
            <w:r>
              <w:rPr>
                <w:rFonts w:ascii="宋体" w:hAnsi="宋体" w:eastAsia="宋体" w:cs="宋体"/>
                <w:b w:val="0"/>
                <w:i w:val="0"/>
                <w:color w:val="000000"/>
                <w:sz w:val="14"/>
              </w:rPr>
              <w:t>240.00</w:t>
            </w: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pPr>
              <w:snapToGrid w:val="0"/>
              <w:jc w:val="right"/>
            </w:pPr>
            <w:r>
              <w:rPr>
                <w:rFonts w:ascii="宋体" w:hAnsi="宋体" w:eastAsia="宋体" w:cs="宋体"/>
                <w:b w:val="0"/>
                <w:i w:val="0"/>
                <w:color w:val="000000"/>
                <w:sz w:val="14"/>
              </w:rPr>
              <w:t>56,692.60</w:t>
            </w: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pPr>
              <w:snapToGrid w:val="0"/>
              <w:jc w:val="right"/>
            </w:pPr>
            <w:r>
              <w:rPr>
                <w:rFonts w:ascii="宋体" w:hAnsi="宋体" w:eastAsia="宋体" w:cs="宋体"/>
                <w:b w:val="0"/>
                <w:i w:val="0"/>
                <w:color w:val="000000"/>
                <w:sz w:val="14"/>
              </w:rPr>
              <w:t>403,750.00</w:t>
            </w: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62,788.96</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pPr>
              <w:snapToGrid w:val="0"/>
              <w:jc w:val="right"/>
            </w:pPr>
            <w:r>
              <w:rPr>
                <w:rFonts w:ascii="宋体" w:hAnsi="宋体" w:eastAsia="宋体" w:cs="宋体"/>
                <w:b w:val="0"/>
                <w:i w:val="0"/>
                <w:color w:val="000000"/>
                <w:sz w:val="14"/>
              </w:rPr>
              <w:t>160,790.00</w:t>
            </w: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pPr>
              <w:snapToGrid w:val="0"/>
              <w:jc w:val="right"/>
            </w:pPr>
            <w:r>
              <w:rPr>
                <w:rFonts w:ascii="宋体" w:hAnsi="宋体" w:eastAsia="宋体" w:cs="宋体"/>
                <w:b w:val="0"/>
                <w:i w:val="0"/>
                <w:color w:val="000000"/>
                <w:sz w:val="14"/>
              </w:rPr>
              <w:t>981,500.00</w:t>
            </w: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pPr>
              <w:snapToGrid w:val="0"/>
              <w:jc w:val="right"/>
            </w:pPr>
            <w:r>
              <w:rPr>
                <w:rFonts w:ascii="宋体" w:hAnsi="宋体" w:eastAsia="宋体" w:cs="宋体"/>
                <w:b w:val="0"/>
                <w:i w:val="0"/>
                <w:color w:val="000000"/>
                <w:sz w:val="14"/>
              </w:rPr>
              <w:t>65,380.00</w:t>
            </w: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pPr>
              <w:snapToGrid w:val="0"/>
              <w:jc w:val="right"/>
            </w:pPr>
            <w:r>
              <w:rPr>
                <w:rFonts w:ascii="宋体" w:hAnsi="宋体" w:eastAsia="宋体" w:cs="宋体"/>
                <w:b w:val="0"/>
                <w:i w:val="0"/>
                <w:color w:val="000000"/>
                <w:sz w:val="14"/>
              </w:rPr>
              <w:t>1,812,043.88</w:t>
            </w: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2,315,609.27</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3,951,683.41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spacing w:before="0" w:after="0" w:line="800" w:lineRule="exact"/>
        <w:ind w:firstLine="642" w:firstLineChars="200"/>
        <w:rPr>
          <w:rFonts w:ascii="黑体" w:hAnsi="黑体" w:eastAsia="黑体"/>
          <w:bCs w:val="0"/>
          <w:sz w:val="30"/>
          <w:szCs w:val="30"/>
        </w:rPr>
      </w:pPr>
      <w:r>
        <w:br w:type="page"/>
      </w:r>
      <w:bookmarkStart w:id="26" w:name="_Toc2050619938"/>
      <w:bookmarkStart w:id="27" w:name="_Toc1972277765"/>
      <w:bookmarkStart w:id="28" w:name="_Toc1059543692"/>
      <w:bookmarkStart w:id="29" w:name="_Toc1186085211"/>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天津市滨海新区机关事务管理局2024年度政府性基金预算财政拨款收入支出决算表为空表。</w:t>
      </w:r>
      <w:bookmarkStart w:id="30" w:name="_Toc816430520"/>
      <w:bookmarkStart w:id="31" w:name="_Toc1662304910"/>
      <w:bookmarkStart w:id="32" w:name="_Toc1951730910"/>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33" w:name="_Toc1590929823"/>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天津市滨海新区机关事务管理局2024年国有资本经营预算财政拨款收入支出决算表为空表。</w:t>
      </w:r>
      <w:bookmarkStart w:id="34" w:name="_Toc1474728957"/>
      <w:bookmarkStart w:id="35" w:name="_Toc2076180092"/>
      <w:bookmarkStart w:id="36" w:name="_Toc1743858547"/>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37" w:name="_Toc438646364"/>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pPr>
              <w:snapToGrid w:val="0"/>
              <w:jc w:val="right"/>
            </w:pPr>
            <w:r>
              <w:rPr>
                <w:rFonts w:ascii="宋体" w:hAnsi="宋体" w:eastAsia="宋体" w:cs="宋体"/>
                <w:b w:val="0"/>
                <w:i w:val="0"/>
                <w:color w:val="000000"/>
                <w:sz w:val="24"/>
              </w:rPr>
              <w:t>2,581,500.00</w:t>
            </w:r>
          </w:p>
        </w:tc>
        <w:tc>
          <w:tcPr>
            <w:tcW w:w="2200" w:type="dxa"/>
            <w:vAlign w:val="center"/>
          </w:tcPr>
          <w:p/>
        </w:tc>
        <w:tc>
          <w:tcPr>
            <w:tcW w:w="2200" w:type="dxa"/>
            <w:vAlign w:val="center"/>
          </w:tcPr>
          <w:p>
            <w:pPr>
              <w:snapToGrid w:val="0"/>
              <w:jc w:val="right"/>
            </w:pPr>
            <w:r>
              <w:rPr>
                <w:rFonts w:ascii="宋体" w:hAnsi="宋体" w:eastAsia="宋体" w:cs="宋体"/>
                <w:b w:val="0"/>
                <w:i w:val="0"/>
                <w:color w:val="000000"/>
                <w:sz w:val="24"/>
              </w:rPr>
              <w:t>2,581,500.00</w:t>
            </w:r>
          </w:p>
        </w:tc>
        <w:tc>
          <w:tcPr>
            <w:tcW w:w="2200" w:type="dxa"/>
            <w:vAlign w:val="center"/>
          </w:tcPr>
          <w:p/>
        </w:tc>
        <w:tc>
          <w:tcPr>
            <w:tcW w:w="2220" w:type="dxa"/>
            <w:vAlign w:val="center"/>
          </w:tcPr>
          <w:p>
            <w:pPr>
              <w:snapToGrid w:val="0"/>
              <w:jc w:val="right"/>
            </w:pPr>
            <w:r>
              <w:rPr>
                <w:rFonts w:ascii="宋体" w:hAnsi="宋体" w:eastAsia="宋体" w:cs="宋体"/>
                <w:b w:val="0"/>
                <w:i w:val="0"/>
                <w:color w:val="000000"/>
                <w:sz w:val="24"/>
              </w:rPr>
              <w:t>2,581,500.00</w:t>
            </w:r>
          </w:p>
        </w:tc>
        <w:tc>
          <w:tcPr>
            <w:tcW w:w="2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pPr>
        <w:pStyle w:val="3"/>
        <w:spacing w:before="0" w:after="0" w:line="800" w:lineRule="exact"/>
        <w:ind w:firstLine="602" w:firstLineChars="200"/>
        <w:rPr>
          <w:rFonts w:ascii="黑体" w:hAnsi="黑体" w:eastAsia="黑体"/>
          <w:sz w:val="30"/>
          <w:szCs w:val="30"/>
        </w:rPr>
      </w:pPr>
      <w:bookmarkStart w:id="39" w:name="_Toc2044509788"/>
      <w:bookmarkStart w:id="40" w:name="_Toc173785173"/>
      <w:bookmarkStart w:id="41" w:name="_Toc18079597"/>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60"/>
        <w:gridCol w:w="5240"/>
        <w:gridCol w:w="1160"/>
        <w:gridCol w:w="1240"/>
        <w:gridCol w:w="1240"/>
        <w:gridCol w:w="1240"/>
        <w:gridCol w:w="124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5900" w:type="dxa"/>
            <w:gridSpan w:val="2"/>
            <w:vAlign w:val="center"/>
          </w:tcPr>
          <w:p>
            <w:pPr>
              <w:snapToGrid w:val="0"/>
              <w:jc w:val="center"/>
            </w:pPr>
            <w:r>
              <w:rPr>
                <w:rFonts w:ascii="宋体" w:hAnsi="宋体" w:eastAsia="宋体" w:cs="宋体"/>
                <w:b w:val="0"/>
                <w:i w:val="0"/>
                <w:color w:val="000000"/>
                <w:sz w:val="14"/>
              </w:rPr>
              <w:t>项目</w:t>
            </w:r>
          </w:p>
        </w:tc>
        <w:tc>
          <w:tcPr>
            <w:tcW w:w="7338" w:type="dxa"/>
            <w:gridSpan w:val="6"/>
            <w:vAlign w:val="center"/>
          </w:tcPr>
          <w:p>
            <w:pPr>
              <w:snapToGrid w:val="0"/>
              <w:jc w:val="center"/>
            </w:pPr>
            <w:r>
              <w:rPr>
                <w:rFonts w:ascii="宋体" w:hAnsi="宋体" w:eastAsia="宋体" w:cs="宋体"/>
                <w:b w:val="0"/>
                <w:i w:val="0"/>
                <w:color w:val="000000"/>
                <w:sz w:val="14"/>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restart"/>
            <w:vAlign w:val="center"/>
          </w:tcPr>
          <w:p>
            <w:pPr>
              <w:snapToGrid w:val="0"/>
              <w:jc w:val="center"/>
            </w:pPr>
            <w:r>
              <w:rPr>
                <w:rFonts w:ascii="宋体" w:hAnsi="宋体" w:eastAsia="宋体" w:cs="宋体"/>
                <w:b w:val="0"/>
                <w:i w:val="0"/>
                <w:color w:val="000000"/>
                <w:sz w:val="14"/>
              </w:rPr>
              <w:t>科目编码</w:t>
            </w:r>
          </w:p>
        </w:tc>
        <w:tc>
          <w:tcPr>
            <w:tcW w:w="5240" w:type="dxa"/>
            <w:vMerge w:val="restart"/>
            <w:vAlign w:val="center"/>
          </w:tcPr>
          <w:p>
            <w:pPr>
              <w:snapToGrid w:val="0"/>
              <w:jc w:val="center"/>
            </w:pPr>
            <w:r>
              <w:rPr>
                <w:rFonts w:ascii="宋体" w:hAnsi="宋体" w:eastAsia="宋体" w:cs="宋体"/>
                <w:b w:val="0"/>
                <w:i w:val="0"/>
                <w:color w:val="000000"/>
                <w:sz w:val="14"/>
              </w:rPr>
              <w:t>科目名称（二级项目名称）</w:t>
            </w:r>
          </w:p>
        </w:tc>
        <w:tc>
          <w:tcPr>
            <w:tcW w:w="1160" w:type="dxa"/>
            <w:vMerge w:val="restart"/>
            <w:vAlign w:val="center"/>
          </w:tcPr>
          <w:p>
            <w:pPr>
              <w:snapToGrid w:val="0"/>
              <w:jc w:val="center"/>
            </w:pPr>
            <w:r>
              <w:rPr>
                <w:rFonts w:ascii="宋体" w:hAnsi="宋体" w:eastAsia="宋体" w:cs="宋体"/>
                <w:b w:val="0"/>
                <w:i w:val="0"/>
                <w:color w:val="000000"/>
                <w:sz w:val="14"/>
              </w:rPr>
              <w:t>合计</w:t>
            </w:r>
          </w:p>
        </w:tc>
        <w:tc>
          <w:tcPr>
            <w:tcW w:w="1240" w:type="dxa"/>
            <w:vMerge w:val="restart"/>
            <w:vAlign w:val="center"/>
          </w:tcPr>
          <w:p>
            <w:pPr>
              <w:snapToGrid w:val="0"/>
              <w:jc w:val="center"/>
            </w:pPr>
            <w:r>
              <w:rPr>
                <w:rFonts w:ascii="宋体" w:hAnsi="宋体" w:eastAsia="宋体" w:cs="宋体"/>
                <w:b w:val="0"/>
                <w:i w:val="0"/>
                <w:color w:val="000000"/>
                <w:sz w:val="14"/>
              </w:rPr>
              <w:t>一般公共预算</w:t>
            </w:r>
          </w:p>
        </w:tc>
        <w:tc>
          <w:tcPr>
            <w:tcW w:w="1240" w:type="dxa"/>
            <w:vMerge w:val="restart"/>
            <w:vAlign w:val="center"/>
          </w:tcPr>
          <w:p>
            <w:pPr>
              <w:snapToGrid w:val="0"/>
              <w:jc w:val="center"/>
            </w:pPr>
            <w:r>
              <w:rPr>
                <w:rFonts w:ascii="宋体" w:hAnsi="宋体" w:eastAsia="宋体" w:cs="宋体"/>
                <w:b w:val="0"/>
                <w:i w:val="0"/>
                <w:color w:val="000000"/>
                <w:sz w:val="14"/>
              </w:rPr>
              <w:t>政府性基金预算</w:t>
            </w:r>
          </w:p>
        </w:tc>
        <w:tc>
          <w:tcPr>
            <w:tcW w:w="1240" w:type="dxa"/>
            <w:vMerge w:val="restart"/>
            <w:vAlign w:val="center"/>
          </w:tcPr>
          <w:p>
            <w:pPr>
              <w:snapToGrid w:val="0"/>
              <w:jc w:val="center"/>
            </w:pPr>
            <w:r>
              <w:rPr>
                <w:rFonts w:ascii="宋体" w:hAnsi="宋体" w:eastAsia="宋体" w:cs="宋体"/>
                <w:b w:val="0"/>
                <w:i w:val="0"/>
                <w:color w:val="000000"/>
                <w:sz w:val="14"/>
              </w:rPr>
              <w:t>国有资本经营预算</w:t>
            </w:r>
          </w:p>
        </w:tc>
        <w:tc>
          <w:tcPr>
            <w:tcW w:w="1240" w:type="dxa"/>
            <w:vMerge w:val="restart"/>
            <w:vAlign w:val="center"/>
          </w:tcPr>
          <w:p>
            <w:pPr>
              <w:snapToGrid w:val="0"/>
              <w:jc w:val="center"/>
            </w:pPr>
            <w:r>
              <w:rPr>
                <w:rFonts w:ascii="宋体" w:hAnsi="宋体" w:eastAsia="宋体" w:cs="宋体"/>
                <w:b w:val="0"/>
                <w:i w:val="0"/>
                <w:color w:val="000000"/>
                <w:sz w:val="14"/>
              </w:rPr>
              <w:t>财政专户管理资金</w:t>
            </w:r>
          </w:p>
        </w:tc>
        <w:tc>
          <w:tcPr>
            <w:tcW w:w="1218" w:type="dxa"/>
            <w:vMerge w:val="restart"/>
            <w:vAlign w:val="center"/>
          </w:tcPr>
          <w:p>
            <w:pPr>
              <w:snapToGrid w:val="0"/>
              <w:jc w:val="center"/>
            </w:pPr>
            <w:r>
              <w:rPr>
                <w:rFonts w:ascii="宋体" w:hAnsi="宋体" w:eastAsia="宋体" w:cs="宋体"/>
                <w:b w:val="0"/>
                <w:i w:val="0"/>
                <w:color w:val="000000"/>
                <w:sz w:val="14"/>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tc>
        <w:tc>
          <w:tcPr>
            <w:tcW w:w="5240" w:type="dxa"/>
            <w:vMerge w:val="continue"/>
            <w:vAlign w:val="center"/>
          </w:tcPr>
          <w:p/>
        </w:tc>
        <w:tc>
          <w:tcPr>
            <w:tcW w:w="116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tc>
        <w:tc>
          <w:tcPr>
            <w:tcW w:w="5240" w:type="dxa"/>
            <w:vMerge w:val="continue"/>
            <w:vAlign w:val="center"/>
          </w:tcPr>
          <w:p/>
        </w:tc>
        <w:tc>
          <w:tcPr>
            <w:tcW w:w="116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5900" w:type="dxa"/>
            <w:gridSpan w:val="2"/>
            <w:vAlign w:val="center"/>
          </w:tcPr>
          <w:p>
            <w:pPr>
              <w:snapToGrid w:val="0"/>
              <w:jc w:val="center"/>
            </w:pPr>
            <w:r>
              <w:rPr>
                <w:rFonts w:ascii="宋体" w:hAnsi="宋体" w:eastAsia="宋体" w:cs="宋体"/>
                <w:b w:val="0"/>
                <w:i w:val="0"/>
                <w:color w:val="000000"/>
                <w:sz w:val="14"/>
              </w:rPr>
              <w:t>合计</w:t>
            </w:r>
          </w:p>
        </w:tc>
        <w:tc>
          <w:tcPr>
            <w:tcW w:w="1160" w:type="dxa"/>
            <w:vAlign w:val="center"/>
          </w:tcPr>
          <w:p>
            <w:pPr>
              <w:snapToGrid w:val="0"/>
              <w:jc w:val="right"/>
            </w:pPr>
            <w:r>
              <w:rPr>
                <w:rFonts w:ascii="宋体" w:hAnsi="宋体" w:eastAsia="宋体" w:cs="宋体"/>
                <w:b w:val="0"/>
                <w:i w:val="0"/>
                <w:color w:val="000000"/>
                <w:sz w:val="14"/>
              </w:rPr>
              <w:t>150,568,432.48</w:t>
            </w:r>
          </w:p>
        </w:tc>
        <w:tc>
          <w:tcPr>
            <w:tcW w:w="1240" w:type="dxa"/>
            <w:vAlign w:val="center"/>
          </w:tcPr>
          <w:p>
            <w:pPr>
              <w:snapToGrid w:val="0"/>
              <w:jc w:val="right"/>
            </w:pPr>
            <w:r>
              <w:rPr>
                <w:rFonts w:ascii="宋体" w:hAnsi="宋体" w:eastAsia="宋体" w:cs="宋体"/>
                <w:b w:val="0"/>
                <w:i w:val="0"/>
                <w:color w:val="000000"/>
                <w:sz w:val="14"/>
              </w:rPr>
              <w:t>150,568,432.48</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201</w:t>
            </w:r>
          </w:p>
        </w:tc>
        <w:tc>
          <w:tcPr>
            <w:tcW w:w="5240" w:type="dxa"/>
            <w:vAlign w:val="center"/>
          </w:tcPr>
          <w:p>
            <w:pPr>
              <w:snapToGrid w:val="0"/>
              <w:jc w:val="left"/>
            </w:pPr>
            <w:r>
              <w:rPr>
                <w:rFonts w:ascii="宋体" w:hAnsi="宋体" w:eastAsia="宋体" w:cs="宋体"/>
                <w:b w:val="0"/>
                <w:i w:val="0"/>
                <w:color w:val="000000"/>
                <w:sz w:val="14"/>
              </w:rPr>
              <w:t>一般公共服务支出</w:t>
            </w:r>
          </w:p>
        </w:tc>
        <w:tc>
          <w:tcPr>
            <w:tcW w:w="1160" w:type="dxa"/>
            <w:vAlign w:val="center"/>
          </w:tcPr>
          <w:p>
            <w:pPr>
              <w:snapToGrid w:val="0"/>
              <w:jc w:val="right"/>
            </w:pPr>
            <w:r>
              <w:rPr>
                <w:rFonts w:ascii="宋体" w:hAnsi="宋体" w:eastAsia="宋体" w:cs="宋体"/>
                <w:b w:val="0"/>
                <w:i w:val="0"/>
                <w:color w:val="000000"/>
                <w:sz w:val="14"/>
              </w:rPr>
              <w:t>150,568,432.48</w:t>
            </w:r>
          </w:p>
        </w:tc>
        <w:tc>
          <w:tcPr>
            <w:tcW w:w="1240" w:type="dxa"/>
            <w:vAlign w:val="center"/>
          </w:tcPr>
          <w:p>
            <w:pPr>
              <w:snapToGrid w:val="0"/>
              <w:jc w:val="right"/>
            </w:pPr>
            <w:r>
              <w:rPr>
                <w:rFonts w:ascii="宋体" w:hAnsi="宋体" w:eastAsia="宋体" w:cs="宋体"/>
                <w:b w:val="0"/>
                <w:i w:val="0"/>
                <w:color w:val="000000"/>
                <w:sz w:val="14"/>
              </w:rPr>
              <w:t>150,568,432.48</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20103</w:t>
            </w:r>
          </w:p>
        </w:tc>
        <w:tc>
          <w:tcPr>
            <w:tcW w:w="5240" w:type="dxa"/>
            <w:vAlign w:val="center"/>
          </w:tcPr>
          <w:p>
            <w:pPr>
              <w:snapToGrid w:val="0"/>
              <w:jc w:val="left"/>
            </w:pPr>
            <w:r>
              <w:rPr>
                <w:rFonts w:ascii="宋体" w:hAnsi="宋体" w:eastAsia="宋体" w:cs="宋体"/>
                <w:b w:val="0"/>
                <w:i w:val="0"/>
                <w:color w:val="000000"/>
                <w:sz w:val="14"/>
              </w:rPr>
              <w:t>政府办公厅（室）及相关机构事务</w:t>
            </w:r>
          </w:p>
        </w:tc>
        <w:tc>
          <w:tcPr>
            <w:tcW w:w="1160" w:type="dxa"/>
            <w:vAlign w:val="center"/>
          </w:tcPr>
          <w:p>
            <w:pPr>
              <w:snapToGrid w:val="0"/>
              <w:jc w:val="right"/>
            </w:pPr>
            <w:r>
              <w:rPr>
                <w:rFonts w:ascii="宋体" w:hAnsi="宋体" w:eastAsia="宋体" w:cs="宋体"/>
                <w:b w:val="0"/>
                <w:i w:val="0"/>
                <w:color w:val="000000"/>
                <w:sz w:val="14"/>
              </w:rPr>
              <w:t>150,568,432.48</w:t>
            </w:r>
          </w:p>
        </w:tc>
        <w:tc>
          <w:tcPr>
            <w:tcW w:w="1240" w:type="dxa"/>
            <w:vAlign w:val="center"/>
          </w:tcPr>
          <w:p>
            <w:pPr>
              <w:snapToGrid w:val="0"/>
              <w:jc w:val="right"/>
            </w:pPr>
            <w:r>
              <w:rPr>
                <w:rFonts w:ascii="宋体" w:hAnsi="宋体" w:eastAsia="宋体" w:cs="宋体"/>
                <w:b w:val="0"/>
                <w:i w:val="0"/>
                <w:color w:val="000000"/>
                <w:sz w:val="14"/>
              </w:rPr>
              <w:t>150,568,432.48</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2010301</w:t>
            </w:r>
          </w:p>
        </w:tc>
        <w:tc>
          <w:tcPr>
            <w:tcW w:w="5240" w:type="dxa"/>
            <w:vAlign w:val="center"/>
          </w:tcPr>
          <w:p>
            <w:pPr>
              <w:snapToGrid w:val="0"/>
              <w:jc w:val="left"/>
            </w:pPr>
            <w:r>
              <w:rPr>
                <w:rFonts w:ascii="宋体" w:hAnsi="宋体" w:eastAsia="宋体" w:cs="宋体"/>
                <w:b w:val="0"/>
                <w:i w:val="0"/>
                <w:color w:val="000000"/>
                <w:sz w:val="14"/>
              </w:rPr>
              <w:t>行政运行</w:t>
            </w:r>
          </w:p>
        </w:tc>
        <w:tc>
          <w:tcPr>
            <w:tcW w:w="1160" w:type="dxa"/>
            <w:vAlign w:val="center"/>
          </w:tcPr>
          <w:p>
            <w:pPr>
              <w:snapToGrid w:val="0"/>
              <w:jc w:val="right"/>
            </w:pPr>
            <w:r>
              <w:rPr>
                <w:rFonts w:ascii="宋体" w:hAnsi="宋体" w:eastAsia="宋体" w:cs="宋体"/>
                <w:b w:val="0"/>
                <w:i w:val="0"/>
                <w:color w:val="000000"/>
                <w:sz w:val="14"/>
              </w:rPr>
              <w:t>150,568,432.48</w:t>
            </w:r>
          </w:p>
        </w:tc>
        <w:tc>
          <w:tcPr>
            <w:tcW w:w="1240" w:type="dxa"/>
            <w:vAlign w:val="center"/>
          </w:tcPr>
          <w:p>
            <w:pPr>
              <w:snapToGrid w:val="0"/>
              <w:jc w:val="right"/>
            </w:pPr>
            <w:r>
              <w:rPr>
                <w:rFonts w:ascii="宋体" w:hAnsi="宋体" w:eastAsia="宋体" w:cs="宋体"/>
                <w:b w:val="0"/>
                <w:i w:val="0"/>
                <w:color w:val="000000"/>
                <w:sz w:val="14"/>
              </w:rPr>
              <w:t>150,568,432.48</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2010301</w:t>
            </w:r>
          </w:p>
        </w:tc>
        <w:tc>
          <w:tcPr>
            <w:tcW w:w="5240" w:type="dxa"/>
            <w:vAlign w:val="center"/>
          </w:tcPr>
          <w:p>
            <w:pPr>
              <w:snapToGrid w:val="0"/>
              <w:jc w:val="left"/>
            </w:pPr>
            <w:r>
              <w:rPr>
                <w:rFonts w:ascii="宋体" w:hAnsi="宋体" w:eastAsia="宋体" w:cs="宋体"/>
                <w:b w:val="0"/>
                <w:i w:val="0"/>
                <w:color w:val="000000"/>
                <w:sz w:val="14"/>
              </w:rPr>
              <w:t>机关局机关运行经费</w:t>
            </w:r>
          </w:p>
        </w:tc>
        <w:tc>
          <w:tcPr>
            <w:tcW w:w="1160" w:type="dxa"/>
            <w:vAlign w:val="center"/>
          </w:tcPr>
          <w:p>
            <w:pPr>
              <w:snapToGrid w:val="0"/>
              <w:jc w:val="right"/>
            </w:pPr>
            <w:r>
              <w:rPr>
                <w:rFonts w:ascii="宋体" w:hAnsi="宋体" w:eastAsia="宋体" w:cs="宋体"/>
                <w:b w:val="0"/>
                <w:i w:val="0"/>
                <w:color w:val="000000"/>
                <w:sz w:val="14"/>
              </w:rPr>
              <w:t>141,268,432.48</w:t>
            </w:r>
          </w:p>
        </w:tc>
        <w:tc>
          <w:tcPr>
            <w:tcW w:w="1240" w:type="dxa"/>
            <w:vAlign w:val="center"/>
          </w:tcPr>
          <w:p>
            <w:pPr>
              <w:snapToGrid w:val="0"/>
              <w:jc w:val="right"/>
            </w:pPr>
            <w:r>
              <w:rPr>
                <w:rFonts w:ascii="宋体" w:hAnsi="宋体" w:eastAsia="宋体" w:cs="宋体"/>
                <w:b w:val="0"/>
                <w:i w:val="0"/>
                <w:color w:val="000000"/>
                <w:sz w:val="14"/>
              </w:rPr>
              <w:t>141,268,432.48</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2010301</w:t>
            </w:r>
          </w:p>
        </w:tc>
        <w:tc>
          <w:tcPr>
            <w:tcW w:w="5240" w:type="dxa"/>
            <w:vAlign w:val="center"/>
          </w:tcPr>
          <w:p>
            <w:pPr>
              <w:snapToGrid w:val="0"/>
              <w:jc w:val="left"/>
            </w:pPr>
            <w:r>
              <w:rPr>
                <w:rFonts w:ascii="宋体" w:hAnsi="宋体" w:eastAsia="宋体" w:cs="宋体"/>
                <w:b w:val="0"/>
                <w:i w:val="0"/>
                <w:color w:val="000000"/>
                <w:sz w:val="14"/>
              </w:rPr>
              <w:t>机关局公务用车平台运行经费</w:t>
            </w:r>
          </w:p>
        </w:tc>
        <w:tc>
          <w:tcPr>
            <w:tcW w:w="1160" w:type="dxa"/>
            <w:vAlign w:val="center"/>
          </w:tcPr>
          <w:p>
            <w:pPr>
              <w:snapToGrid w:val="0"/>
              <w:jc w:val="right"/>
            </w:pPr>
            <w:r>
              <w:rPr>
                <w:rFonts w:ascii="宋体" w:hAnsi="宋体" w:eastAsia="宋体" w:cs="宋体"/>
                <w:b w:val="0"/>
                <w:i w:val="0"/>
                <w:color w:val="000000"/>
                <w:sz w:val="14"/>
              </w:rPr>
              <w:t>1,600,000.00</w:t>
            </w:r>
          </w:p>
        </w:tc>
        <w:tc>
          <w:tcPr>
            <w:tcW w:w="1240" w:type="dxa"/>
            <w:vAlign w:val="center"/>
          </w:tcPr>
          <w:p>
            <w:pPr>
              <w:snapToGrid w:val="0"/>
              <w:jc w:val="right"/>
            </w:pPr>
            <w:r>
              <w:rPr>
                <w:rFonts w:ascii="宋体" w:hAnsi="宋体" w:eastAsia="宋体" w:cs="宋体"/>
                <w:b w:val="0"/>
                <w:i w:val="0"/>
                <w:color w:val="000000"/>
                <w:sz w:val="14"/>
              </w:rPr>
              <w:t>1,600,000.00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2010301</w:t>
            </w:r>
          </w:p>
        </w:tc>
        <w:tc>
          <w:tcPr>
            <w:tcW w:w="5240" w:type="dxa"/>
            <w:vAlign w:val="center"/>
          </w:tcPr>
          <w:p>
            <w:pPr>
              <w:snapToGrid w:val="0"/>
              <w:jc w:val="left"/>
            </w:pPr>
            <w:r>
              <w:rPr>
                <w:rFonts w:ascii="宋体" w:hAnsi="宋体" w:eastAsia="宋体" w:cs="宋体"/>
                <w:b w:val="0"/>
                <w:i w:val="0"/>
                <w:color w:val="000000"/>
                <w:sz w:val="14"/>
              </w:rPr>
              <w:t>机关局公务用车平台多种用工人员经费</w:t>
            </w:r>
          </w:p>
        </w:tc>
        <w:tc>
          <w:tcPr>
            <w:tcW w:w="1160" w:type="dxa"/>
            <w:vAlign w:val="center"/>
          </w:tcPr>
          <w:p>
            <w:pPr>
              <w:snapToGrid w:val="0"/>
              <w:jc w:val="right"/>
            </w:pPr>
            <w:r>
              <w:rPr>
                <w:rFonts w:ascii="宋体" w:hAnsi="宋体" w:eastAsia="宋体" w:cs="宋体"/>
                <w:b w:val="0"/>
                <w:i w:val="0"/>
                <w:color w:val="000000"/>
                <w:sz w:val="14"/>
              </w:rPr>
              <w:t>7,700,000.00</w:t>
            </w:r>
          </w:p>
        </w:tc>
        <w:tc>
          <w:tcPr>
            <w:tcW w:w="1240" w:type="dxa"/>
            <w:vAlign w:val="center"/>
          </w:tcPr>
          <w:p>
            <w:pPr>
              <w:snapToGrid w:val="0"/>
              <w:jc w:val="right"/>
            </w:pPr>
            <w:r>
              <w:rPr>
                <w:rFonts w:ascii="宋体" w:hAnsi="宋体" w:eastAsia="宋体" w:cs="宋体"/>
                <w:b w:val="0"/>
                <w:i w:val="0"/>
                <w:color w:val="000000"/>
                <w:sz w:val="14"/>
              </w:rPr>
              <w:t>7,700,000.00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86"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cols w:space="720" w:num="1"/>
          <w:docGrid w:type="lines" w:linePitch="312" w:charSpace="0"/>
        </w:sectPr>
      </w:pPr>
    </w:p>
    <w:bookmarkEnd w:id="38"/>
    <w:p>
      <w:pPr>
        <w:pStyle w:val="2"/>
        <w:spacing w:before="0" w:after="0" w:line="600" w:lineRule="exact"/>
        <w:jc w:val="center"/>
        <w:rPr>
          <w:rFonts w:ascii="黑体" w:eastAsia="黑体"/>
          <w:sz w:val="30"/>
          <w:szCs w:val="30"/>
        </w:rPr>
      </w:pPr>
      <w:bookmarkStart w:id="42" w:name="_Toc190171269"/>
      <w:bookmarkStart w:id="43" w:name="_Toc245797798"/>
      <w:bookmarkStart w:id="44" w:name="_Toc1068592552"/>
      <w:bookmarkStart w:id="45" w:name="_Toc229642691"/>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pPr>
        <w:pStyle w:val="3"/>
        <w:spacing w:before="0" w:after="0" w:line="600" w:lineRule="exact"/>
        <w:ind w:firstLine="602" w:firstLineChars="200"/>
        <w:rPr>
          <w:rFonts w:ascii="黑体" w:hAnsi="黑体" w:eastAsia="黑体"/>
          <w:bCs w:val="0"/>
          <w:sz w:val="30"/>
          <w:szCs w:val="30"/>
        </w:rPr>
      </w:pPr>
      <w:bookmarkStart w:id="46" w:name="_Toc429281603"/>
      <w:bookmarkStart w:id="47" w:name="_Toc1512537805"/>
      <w:bookmarkStart w:id="48" w:name="_Toc752851347"/>
      <w:bookmarkStart w:id="49" w:name="_Toc576593978"/>
      <w:r>
        <w:rPr>
          <w:rFonts w:hint="eastAsia" w:ascii="黑体" w:hAnsi="黑体" w:eastAsia="黑体"/>
          <w:bCs w:val="0"/>
          <w:sz w:val="30"/>
          <w:szCs w:val="30"/>
        </w:rPr>
        <w:t>一、收入支出决算总体情况说明</w:t>
      </w:r>
      <w:bookmarkEnd w:id="46"/>
      <w:bookmarkEnd w:id="47"/>
      <w:bookmarkEnd w:id="48"/>
      <w:bookmarkEnd w:id="49"/>
    </w:p>
    <w:p>
      <w:pPr>
        <w:spacing w:line="600" w:lineRule="exact"/>
        <w:ind w:firstLine="600"/>
        <w:rPr>
          <w:rFonts w:eastAsia="仿宋_GB2312"/>
          <w:sz w:val="30"/>
          <w:szCs w:val="30"/>
        </w:rPr>
      </w:pPr>
      <w:r>
        <w:rPr>
          <w:rFonts w:hint="eastAsia" w:eastAsia="仿宋_GB2312"/>
          <w:sz w:val="30"/>
          <w:szCs w:val="30"/>
        </w:rPr>
        <w:t>天津市滨海新区机关事务管理局2024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156,835,725.16</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52,849,155.53元，下降25.204%，主要原因是一是按照过紧日子的要求压减机关运行专项经费预算总额，导致本年度集中办公区房屋租赁费、物业管理费等费用支出下降；二是因机构改革本年6月份全部人员转出至区政府办公室导致全年人员经费减少。</w:t>
      </w:r>
    </w:p>
    <w:p>
      <w:pPr>
        <w:spacing w:line="600" w:lineRule="exact"/>
        <w:ind w:firstLine="600" w:firstLineChars="200"/>
        <w:rPr>
          <w:rFonts w:eastAsia="仿宋_GB2312"/>
          <w:sz w:val="30"/>
          <w:szCs w:val="30"/>
        </w:rPr>
      </w:pPr>
      <w:r>
        <w:rPr>
          <w:rFonts w:hint="eastAsia" w:eastAsia="仿宋_GB2312"/>
          <w:sz w:val="30"/>
          <w:szCs w:val="30"/>
        </w:rPr>
        <w:t>收入包括：一般公共预算财政拨款收入156,835,725.16元。</w:t>
      </w:r>
    </w:p>
    <w:p>
      <w:pPr>
        <w:spacing w:line="600" w:lineRule="exact"/>
        <w:ind w:firstLine="600" w:firstLineChars="200"/>
        <w:rPr>
          <w:rFonts w:eastAsia="仿宋_GB2312"/>
          <w:sz w:val="30"/>
          <w:szCs w:val="30"/>
        </w:rPr>
      </w:pPr>
      <w:r>
        <w:rPr>
          <w:rFonts w:hint="eastAsia" w:eastAsia="仿宋_GB2312"/>
          <w:sz w:val="30"/>
          <w:szCs w:val="30"/>
        </w:rPr>
        <w:t>支出包括：一般公共服务支出156,835,725.16元。</w:t>
      </w:r>
    </w:p>
    <w:p>
      <w:pPr>
        <w:pStyle w:val="3"/>
        <w:spacing w:before="0" w:after="0" w:line="600" w:lineRule="exact"/>
        <w:ind w:firstLine="602" w:firstLineChars="200"/>
        <w:rPr>
          <w:rFonts w:ascii="黑体" w:hAnsi="黑体" w:eastAsia="黑体" w:cs="仿宋_GB2312"/>
          <w:bCs w:val="0"/>
          <w:sz w:val="30"/>
          <w:szCs w:val="30"/>
        </w:rPr>
      </w:pPr>
      <w:bookmarkStart w:id="50" w:name="_Toc198940905"/>
      <w:bookmarkStart w:id="51" w:name="_Toc1538331348"/>
      <w:bookmarkStart w:id="52" w:name="_Toc1458959096"/>
      <w:bookmarkStart w:id="53" w:name="_Toc1368772982"/>
      <w:r>
        <w:rPr>
          <w:rFonts w:hint="eastAsia" w:ascii="黑体" w:hAnsi="黑体" w:eastAsia="黑体" w:cs="仿宋_GB2312"/>
          <w:bCs w:val="0"/>
          <w:sz w:val="30"/>
          <w:szCs w:val="30"/>
        </w:rPr>
        <w:t>二、收入决算情况说明</w:t>
      </w:r>
      <w:bookmarkEnd w:id="50"/>
      <w:bookmarkEnd w:id="51"/>
      <w:bookmarkEnd w:id="52"/>
      <w:bookmarkEnd w:id="53"/>
    </w:p>
    <w:p>
      <w:pPr>
        <w:spacing w:line="600" w:lineRule="exact"/>
        <w:ind w:firstLine="600" w:firstLineChars="200"/>
        <w:rPr>
          <w:rFonts w:eastAsia="仿宋_GB2312"/>
          <w:sz w:val="30"/>
          <w:szCs w:val="30"/>
        </w:rPr>
      </w:pPr>
      <w:r>
        <w:rPr>
          <w:rFonts w:hint="eastAsia" w:eastAsia="仿宋_GB2312"/>
          <w:sz w:val="30"/>
          <w:szCs w:val="30"/>
        </w:rPr>
        <w:t>天津市滨海新区机关事务管理局2024年度本年收入合计156,835,725.16元，与2023年度相比减少52,849,155.53元，主要原因是一是按照过紧日子的要求压减机关运行专项经费预算总额，导致本年度集中办公区房屋租赁费、物业管理费等费用支出下降；二是因机构改革按照组织部要求于2024年6月将区机关事务管理局人员转入区政府办公室，导致全年人员经费减少。其中：一般公共预算财政拨款收入156,835,725.16元，占100.000%。</w:t>
      </w:r>
    </w:p>
    <w:p>
      <w:pPr>
        <w:pStyle w:val="3"/>
        <w:spacing w:before="0" w:after="0" w:line="600" w:lineRule="exact"/>
        <w:ind w:firstLine="602" w:firstLineChars="200"/>
        <w:rPr>
          <w:rFonts w:ascii="黑体" w:hAnsi="黑体" w:eastAsia="黑体" w:cs="仿宋_GB2312"/>
          <w:bCs w:val="0"/>
          <w:sz w:val="30"/>
          <w:szCs w:val="30"/>
        </w:rPr>
      </w:pPr>
      <w:bookmarkStart w:id="54" w:name="_Toc757245026"/>
      <w:bookmarkStart w:id="55" w:name="_Toc1179339603"/>
      <w:bookmarkStart w:id="56" w:name="_Toc1122681810"/>
      <w:bookmarkStart w:id="57" w:name="_Toc2115235603"/>
      <w:r>
        <w:rPr>
          <w:rFonts w:hint="eastAsia" w:ascii="黑体" w:hAnsi="黑体" w:eastAsia="黑体" w:cs="仿宋_GB2312"/>
          <w:bCs w:val="0"/>
          <w:sz w:val="30"/>
          <w:szCs w:val="30"/>
        </w:rPr>
        <w:t>三、支出决算情况说明</w:t>
      </w:r>
      <w:bookmarkEnd w:id="54"/>
      <w:bookmarkEnd w:id="55"/>
      <w:bookmarkEnd w:id="56"/>
      <w:bookmarkEnd w:id="57"/>
    </w:p>
    <w:p>
      <w:pPr>
        <w:spacing w:line="600" w:lineRule="exact"/>
        <w:ind w:firstLine="600" w:firstLineChars="200"/>
        <w:rPr>
          <w:rFonts w:eastAsia="仿宋_GB2312"/>
          <w:sz w:val="30"/>
          <w:szCs w:val="30"/>
        </w:rPr>
      </w:pPr>
      <w:r>
        <w:rPr>
          <w:rFonts w:hint="eastAsia" w:eastAsia="仿宋_GB2312"/>
          <w:sz w:val="30"/>
          <w:szCs w:val="30"/>
        </w:rPr>
        <w:t>天津市滨海新区机关事务管理局2024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合计156,835,725.16</w:t>
      </w:r>
      <w:r>
        <w:rPr>
          <w:rFonts w:eastAsia="仿宋_GB2312"/>
          <w:sz w:val="30"/>
          <w:szCs w:val="30"/>
        </w:rPr>
        <w:t>元，</w:t>
      </w:r>
      <w:r>
        <w:rPr>
          <w:rFonts w:hint="eastAsia" w:eastAsia="仿宋_GB2312"/>
          <w:sz w:val="30"/>
          <w:szCs w:val="30"/>
        </w:rPr>
        <w:t>与2023年度相比减少52,849,155.53元，主要原因是一是按照过紧日子的要求压减机关运行专项经费预算总额，导致本年度集中办公区房屋租赁费、物业管理费等费用支出下降；二是因机构改革按照组织部要求于2024年6月将区机关事务管理局人员转入区政府办公室，导致全年人员经费减少。其中：基本支出6,267,292.68元，占3.996%；项目支出150,568,432.48元，占96.004%。</w:t>
      </w:r>
    </w:p>
    <w:p>
      <w:pPr>
        <w:pStyle w:val="3"/>
        <w:spacing w:before="0" w:after="0" w:line="600" w:lineRule="exact"/>
        <w:ind w:firstLine="602" w:firstLineChars="200"/>
        <w:rPr>
          <w:rFonts w:ascii="黑体" w:hAnsi="黑体" w:eastAsia="黑体"/>
          <w:bCs w:val="0"/>
          <w:sz w:val="30"/>
          <w:szCs w:val="30"/>
        </w:rPr>
      </w:pPr>
      <w:bookmarkStart w:id="58" w:name="_Toc1320487183"/>
      <w:bookmarkStart w:id="59" w:name="_Toc2034129458"/>
      <w:bookmarkStart w:id="60" w:name="_Toc1029059860"/>
      <w:bookmarkStart w:id="61" w:name="_Toc1121858128"/>
      <w:r>
        <w:rPr>
          <w:rFonts w:hint="eastAsia" w:ascii="黑体" w:hAnsi="黑体" w:eastAsia="黑体"/>
          <w:bCs w:val="0"/>
          <w:sz w:val="30"/>
          <w:szCs w:val="30"/>
        </w:rPr>
        <w:t>四、财政拨款收支决算总体情况说明</w:t>
      </w:r>
      <w:bookmarkEnd w:id="58"/>
      <w:bookmarkEnd w:id="59"/>
      <w:bookmarkEnd w:id="60"/>
      <w:bookmarkEnd w:id="61"/>
    </w:p>
    <w:p>
      <w:pPr>
        <w:spacing w:line="600" w:lineRule="exact"/>
        <w:ind w:firstLine="600"/>
        <w:rPr>
          <w:rFonts w:eastAsia="仿宋_GB2312"/>
          <w:sz w:val="30"/>
          <w:szCs w:val="30"/>
        </w:rPr>
      </w:pPr>
      <w:r>
        <w:rPr>
          <w:rFonts w:hint="eastAsia" w:eastAsia="仿宋_GB2312"/>
          <w:sz w:val="30"/>
          <w:szCs w:val="30"/>
        </w:rPr>
        <w:t>天津市滨海新区机关事务管理局2024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156,835,725.16元。与2023年度相比，财政拨款收、支总计各减少52,849,155.53元，下降25.204%，主要原因是一是按照过紧日子的要求压减机关运行专项经费预算总额，导致本年度集中办公区房屋租赁费、物业管理费等费用支出下降；二是因机构改革按照组织部要求于2024年6月将区机关事务管理局人员转入区政府办公室，导致全年人员经费减少。</w:t>
      </w:r>
    </w:p>
    <w:p>
      <w:pPr>
        <w:spacing w:line="600" w:lineRule="exact"/>
        <w:ind w:firstLine="600"/>
        <w:rPr>
          <w:rFonts w:eastAsia="仿宋_GB2312"/>
          <w:sz w:val="30"/>
          <w:szCs w:val="30"/>
        </w:rPr>
      </w:pPr>
      <w:r>
        <w:rPr>
          <w:rFonts w:hint="eastAsia" w:eastAsia="仿宋_GB2312"/>
          <w:sz w:val="30"/>
          <w:szCs w:val="30"/>
        </w:rPr>
        <w:t>收入包括：一般公共预算财政拨款156,835,725.16元。</w:t>
      </w:r>
    </w:p>
    <w:p>
      <w:pPr>
        <w:spacing w:line="600" w:lineRule="exact"/>
        <w:ind w:firstLine="600" w:firstLineChars="200"/>
        <w:rPr>
          <w:rFonts w:eastAsia="仿宋_GB2312"/>
          <w:sz w:val="30"/>
          <w:szCs w:val="30"/>
        </w:rPr>
      </w:pPr>
      <w:r>
        <w:rPr>
          <w:rFonts w:hint="eastAsia" w:eastAsia="仿宋_GB2312"/>
          <w:sz w:val="30"/>
          <w:szCs w:val="30"/>
        </w:rPr>
        <w:t>支出包括：一般公共服务支出156,835,725.16元。</w:t>
      </w:r>
    </w:p>
    <w:p>
      <w:pPr>
        <w:pStyle w:val="3"/>
        <w:spacing w:before="0" w:after="0" w:line="600" w:lineRule="exact"/>
        <w:ind w:firstLine="602" w:firstLineChars="200"/>
        <w:rPr>
          <w:rFonts w:ascii="黑体" w:hAnsi="黑体" w:eastAsia="黑体" w:cs="仿宋_GB2312"/>
          <w:sz w:val="30"/>
          <w:szCs w:val="30"/>
        </w:rPr>
      </w:pPr>
      <w:bookmarkStart w:id="62" w:name="_Toc1821624013"/>
      <w:bookmarkStart w:id="63" w:name="_Toc163136636"/>
      <w:bookmarkStart w:id="64" w:name="_Toc1332076583"/>
      <w:bookmarkStart w:id="65" w:name="_Toc1723257729"/>
      <w:r>
        <w:rPr>
          <w:rFonts w:hint="eastAsia" w:ascii="黑体" w:hAnsi="黑体" w:eastAsia="黑体" w:cs="仿宋_GB2312"/>
          <w:sz w:val="30"/>
          <w:szCs w:val="30"/>
        </w:rPr>
        <w:t>五、一般公共预算财政拨款支出决算情况说明</w:t>
      </w:r>
      <w:bookmarkEnd w:id="62"/>
      <w:bookmarkEnd w:id="63"/>
      <w:bookmarkEnd w:id="64"/>
      <w:bookmarkEnd w:id="65"/>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天津市滨海新区机关事务管理局2024年度部门决算一般公共预算财政拨款支出合计156,835,725.16元，占本年支出合计的100.000%。与2023年度相比，一般公共预算财政拨款支出减少52,849,155.53元</w:t>
      </w:r>
      <w:r>
        <w:rPr>
          <w:rFonts w:hint="eastAsia" w:eastAsia="仿宋_GB2312"/>
          <w:sz w:val="30"/>
          <w:szCs w:val="30"/>
          <w:lang w:eastAsia="zh-CN"/>
        </w:rPr>
        <w:t>，下降25.204%</w:t>
      </w:r>
      <w:r>
        <w:rPr>
          <w:rFonts w:hint="eastAsia" w:eastAsia="仿宋_GB2312"/>
          <w:sz w:val="30"/>
          <w:szCs w:val="30"/>
        </w:rPr>
        <w:t>，主要原因是一是按照过紧日子的要求压减机关运行专项经费预算总额，导致本年度集中办公区房屋租赁费、物业管理费等费用支出下降；二是因机构改革按照组织部要求于2024年6月将区机关事务管理局人员转入区政府办公室，导致全年人员经费减少。</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2024年度一般公共预算财政拨款支出156,835,725.16元，主要用于以下方面：一般公共服务支出（类）支出156,835,725.16元，占100.000%。</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2024年度一般公共预算财政拨款支出年初预算为615,361,900.00元，支出决算为156,835,725.16元，完成年初预算的25.487%。其中：</w:t>
      </w:r>
    </w:p>
    <w:p>
      <w:pPr>
        <w:spacing w:line="600" w:lineRule="exact"/>
        <w:ind w:firstLine="600" w:firstLineChars="200"/>
        <w:rPr>
          <w:rFonts w:eastAsia="仿宋_GB2312"/>
          <w:sz w:val="30"/>
          <w:szCs w:val="30"/>
        </w:rPr>
      </w:pPr>
      <w:bookmarkStart w:id="110" w:name="_GoBack"/>
      <w:bookmarkEnd w:id="110"/>
      <w:r>
        <w:rPr>
          <w:rFonts w:hint="eastAsia" w:eastAsia="仿宋_GB2312"/>
          <w:sz w:val="30"/>
          <w:szCs w:val="30"/>
        </w:rPr>
        <w:t>一般公共服务支出（类）政府办公厅（室）及相关机构事务（款）行政运行（项）年初预算为160,611,900.00元，支出决算为156,835,725.16元，完成年初预算的97.649%，决算数小于预算数的主要原因是：因机构改革按照组织部要求于2024年6月将区机关事务管理局人员转入区政府办公室，导致全年人员经费减少。</w:t>
      </w:r>
    </w:p>
    <w:p>
      <w:pPr>
        <w:pStyle w:val="3"/>
        <w:spacing w:before="0" w:after="0" w:line="600" w:lineRule="exact"/>
        <w:ind w:firstLine="602" w:firstLineChars="200"/>
        <w:rPr>
          <w:rFonts w:ascii="黑体" w:hAnsi="黑体" w:eastAsia="黑体" w:cs="仿宋_GB2312"/>
          <w:sz w:val="30"/>
          <w:szCs w:val="30"/>
        </w:rPr>
      </w:pPr>
      <w:bookmarkStart w:id="66" w:name="_Toc1507914859"/>
      <w:bookmarkStart w:id="67" w:name="_Toc1648307680"/>
      <w:bookmarkStart w:id="68" w:name="_Toc1828187861"/>
      <w:bookmarkStart w:id="69" w:name="_Toc1127616914"/>
      <w:r>
        <w:rPr>
          <w:rFonts w:hint="eastAsia" w:ascii="黑体" w:hAnsi="黑体" w:eastAsia="黑体" w:cs="仿宋_GB2312"/>
          <w:sz w:val="30"/>
          <w:szCs w:val="30"/>
        </w:rPr>
        <w:t>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hint="eastAsia" w:eastAsia="仿宋_GB2312"/>
          <w:sz w:val="30"/>
          <w:szCs w:val="30"/>
        </w:rPr>
        <w:t>天津市滨海新区机关事务管理局2024</w:t>
      </w:r>
      <w:r>
        <w:rPr>
          <w:rFonts w:eastAsia="仿宋_GB2312"/>
          <w:sz w:val="30"/>
          <w:szCs w:val="30"/>
        </w:rPr>
        <w:t>年度部门决算一般公共预算财政拨款基本支出</w:t>
      </w:r>
      <w:r>
        <w:rPr>
          <w:rFonts w:hint="eastAsia" w:eastAsia="仿宋_GB2312"/>
          <w:sz w:val="30"/>
          <w:szCs w:val="30"/>
        </w:rPr>
        <w:t>合计6,267,292.68</w:t>
      </w:r>
      <w:r>
        <w:rPr>
          <w:rFonts w:eastAsia="仿宋_GB2312"/>
          <w:sz w:val="30"/>
          <w:szCs w:val="30"/>
        </w:rPr>
        <w:t>元，</w:t>
      </w:r>
      <w:r>
        <w:rPr>
          <w:rFonts w:hint="eastAsia" w:eastAsia="仿宋_GB2312"/>
          <w:sz w:val="30"/>
          <w:szCs w:val="30"/>
        </w:rPr>
        <w:t>与2023年度相比减少5,617,588.01元，主要原因是一是因机构改革按照组织部要求于2024年6月将区机关事务管理局人员转入区政府办公室，导致全年人员经费减少；二是列入公用经费的公务用车运行费总额减少。其中：</w:t>
      </w:r>
    </w:p>
    <w:p>
      <w:pPr>
        <w:spacing w:line="600" w:lineRule="exact"/>
        <w:ind w:firstLine="600" w:firstLineChars="200"/>
        <w:rPr>
          <w:rFonts w:eastAsia="仿宋_GB2312"/>
          <w:sz w:val="30"/>
          <w:szCs w:val="30"/>
        </w:rPr>
      </w:pPr>
      <w:r>
        <w:rPr>
          <w:rFonts w:hint="eastAsia" w:eastAsia="仿宋_GB2312"/>
          <w:sz w:val="30"/>
          <w:szCs w:val="30"/>
        </w:rPr>
        <w:t>人员经费2,315,609.27元，主要包括基本工资、津贴补贴、奖金、机关事业单位基本养老保险缴费、职业年金缴费、职工基本医疗保险缴费、公务员医疗补助缴费、其他社会保障缴费、住房公积金、其他工资福利支出、退休费。</w:t>
      </w:r>
    </w:p>
    <w:p>
      <w:pPr>
        <w:spacing w:line="600" w:lineRule="exact"/>
        <w:ind w:firstLine="600" w:firstLineChars="200"/>
        <w:rPr>
          <w:rFonts w:eastAsia="仿宋_GB2312"/>
          <w:sz w:val="30"/>
          <w:szCs w:val="30"/>
        </w:rPr>
      </w:pPr>
      <w:r>
        <w:rPr>
          <w:rFonts w:hint="eastAsia" w:eastAsia="仿宋_GB2312"/>
          <w:sz w:val="30"/>
          <w:szCs w:val="30"/>
        </w:rPr>
        <w:t>公用经费3,951,683.41元，主要包括办公费、咨询费、邮电费、差旅费、培训费、劳务费、工会经费、福利费、公务用车运行维护费、其他交通费用、其他商品和服务支出、办公设备购置。</w:t>
      </w:r>
    </w:p>
    <w:p>
      <w:pPr>
        <w:pStyle w:val="3"/>
        <w:spacing w:before="0" w:after="0" w:line="600" w:lineRule="exact"/>
        <w:ind w:firstLine="602" w:firstLineChars="200"/>
        <w:rPr>
          <w:rFonts w:ascii="黑体" w:hAnsi="黑体" w:eastAsia="黑体" w:cs="仿宋_GB2312"/>
          <w:sz w:val="30"/>
          <w:szCs w:val="30"/>
        </w:rPr>
      </w:pPr>
      <w:bookmarkStart w:id="70" w:name="_Toc1070516966"/>
      <w:bookmarkStart w:id="71" w:name="_Toc568131460"/>
      <w:bookmarkStart w:id="72" w:name="_Toc314288823"/>
      <w:bookmarkStart w:id="73" w:name="_Toc157358551"/>
      <w:r>
        <w:rPr>
          <w:rFonts w:hint="eastAsia" w:ascii="黑体" w:hAnsi="黑体" w:eastAsia="黑体" w:cs="仿宋_GB2312"/>
          <w:sz w:val="30"/>
          <w:szCs w:val="30"/>
        </w:rPr>
        <w:t>七、政府性基金预算财政拨款收支决算情况说明</w:t>
      </w:r>
      <w:bookmarkEnd w:id="70"/>
      <w:bookmarkEnd w:id="71"/>
      <w:bookmarkEnd w:id="72"/>
      <w:bookmarkEnd w:id="73"/>
    </w:p>
    <w:p>
      <w:pPr>
        <w:spacing w:line="600" w:lineRule="exact"/>
        <w:ind w:firstLine="600" w:firstLineChars="200"/>
        <w:rPr>
          <w:rFonts w:ascii="楷体" w:hAnsi="楷体" w:eastAsia="楷体" w:cs="楷体"/>
          <w:sz w:val="30"/>
          <w:szCs w:val="30"/>
        </w:rPr>
      </w:pPr>
      <w:r>
        <w:rPr>
          <w:rFonts w:hint="eastAsia" w:eastAsia="仿宋_GB2312"/>
          <w:sz w:val="30"/>
          <w:szCs w:val="30"/>
        </w:rPr>
        <w:t>天津市滨海新区机关事务管理局2024年度无政府性基金预算财政拨款收入、支出和结转结余。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4" w:name="_Toc560652996"/>
      <w:bookmarkStart w:id="75" w:name="_Toc1172797200"/>
      <w:bookmarkStart w:id="76" w:name="_Toc1589960188"/>
      <w:bookmarkStart w:id="77" w:name="_Toc873153658"/>
      <w:r>
        <w:rPr>
          <w:rFonts w:hint="eastAsia" w:ascii="黑体" w:hAnsi="黑体" w:eastAsia="黑体" w:cs="仿宋_GB2312"/>
          <w:sz w:val="30"/>
          <w:szCs w:val="30"/>
        </w:rPr>
        <w:t>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hint="eastAsia" w:eastAsia="仿宋_GB2312"/>
          <w:sz w:val="30"/>
          <w:szCs w:val="30"/>
        </w:rPr>
        <w:t>天津市滨海新区机关事务管理局2024年度无国有资本经营预算财政拨款收入、支出和结转结余。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8" w:name="_Toc1597628234"/>
      <w:bookmarkStart w:id="79" w:name="_Toc1337770055"/>
      <w:bookmarkStart w:id="80" w:name="_Toc1884144383"/>
      <w:bookmarkStart w:id="81" w:name="_Toc1321860095"/>
      <w:r>
        <w:rPr>
          <w:rFonts w:hint="eastAsia" w:ascii="黑体" w:hAnsi="黑体" w:eastAsia="黑体" w:cs="仿宋_GB2312"/>
          <w:sz w:val="30"/>
          <w:szCs w:val="30"/>
        </w:rPr>
        <w:t>九、财政拨款“三公”经费支出决算情况说明</w:t>
      </w:r>
      <w:bookmarkEnd w:id="78"/>
      <w:bookmarkEnd w:id="79"/>
      <w:bookmarkEnd w:id="80"/>
      <w:bookmarkEnd w:id="81"/>
    </w:p>
    <w:p>
      <w:pPr>
        <w:spacing w:line="600" w:lineRule="exact"/>
        <w:ind w:firstLine="602" w:firstLineChars="200"/>
        <w:rPr>
          <w:rFonts w:ascii="楷体" w:hAnsi="楷体" w:eastAsia="楷体" w:cs="楷体"/>
          <w:b/>
          <w:bCs/>
          <w:sz w:val="30"/>
          <w:szCs w:val="30"/>
        </w:rPr>
      </w:pPr>
      <w:bookmarkStart w:id="82" w:name="_Toc784288450"/>
      <w:bookmarkStart w:id="83" w:name="_Toc99152753"/>
      <w:r>
        <w:rPr>
          <w:rFonts w:hint="eastAsia" w:ascii="楷体" w:hAnsi="楷体" w:eastAsia="楷体" w:cs="楷体"/>
          <w:b/>
          <w:bCs/>
          <w:sz w:val="30"/>
          <w:szCs w:val="30"/>
        </w:rPr>
        <w:t>（一）总体情况</w:t>
      </w:r>
      <w:bookmarkEnd w:id="82"/>
      <w:bookmarkEnd w:id="83"/>
    </w:p>
    <w:p>
      <w:pPr>
        <w:spacing w:line="600" w:lineRule="exact"/>
        <w:ind w:firstLine="600" w:firstLineChars="200"/>
        <w:rPr>
          <w:rFonts w:eastAsia="仿宋_GB2312"/>
          <w:sz w:val="30"/>
          <w:szCs w:val="30"/>
        </w:rPr>
      </w:pPr>
      <w:r>
        <w:rPr>
          <w:rFonts w:hint="eastAsia" w:eastAsia="仿宋_GB2312"/>
          <w:sz w:val="30"/>
          <w:szCs w:val="30"/>
        </w:rPr>
        <w:t>2024年财政拨款“三公”经费预算2,581,500.00元，支出决算2,581,500.00元，与2024年预算相比持平，完成预算的100.000%；支出决算较上年持平。决算数与预算数持平的主要原因是严格按照预算执行；决算数较上年持平的主要原因是本年度克服公务活动增加、燃油价格上涨等困难，在细节中抓节约，严格控制公务用车运行费支出范围。</w:t>
      </w:r>
    </w:p>
    <w:p>
      <w:pPr>
        <w:spacing w:line="600" w:lineRule="exact"/>
        <w:ind w:firstLine="602" w:firstLineChars="200"/>
        <w:rPr>
          <w:rFonts w:ascii="楷体" w:hAnsi="楷体" w:eastAsia="楷体" w:cs="楷体"/>
          <w:b/>
          <w:bCs/>
          <w:sz w:val="30"/>
          <w:szCs w:val="30"/>
        </w:rPr>
      </w:pPr>
      <w:bookmarkStart w:id="84" w:name="_Toc13009599"/>
      <w:bookmarkStart w:id="85" w:name="_Toc281353864"/>
      <w:r>
        <w:rPr>
          <w:rFonts w:hint="eastAsia" w:ascii="楷体" w:hAnsi="楷体" w:eastAsia="楷体" w:cs="楷体"/>
          <w:b/>
          <w:bCs/>
          <w:sz w:val="30"/>
          <w:szCs w:val="30"/>
        </w:rPr>
        <w:t>（二）具体情况</w:t>
      </w:r>
      <w:bookmarkEnd w:id="84"/>
      <w:bookmarkEnd w:id="85"/>
    </w:p>
    <w:p>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pPr>
        <w:spacing w:line="600" w:lineRule="exact"/>
        <w:ind w:firstLine="600" w:firstLineChars="200"/>
        <w:rPr>
          <w:rFonts w:eastAsia="仿宋_GB2312"/>
          <w:sz w:val="30"/>
          <w:szCs w:val="30"/>
        </w:rPr>
      </w:pPr>
      <w:r>
        <w:rPr>
          <w:rFonts w:hint="eastAsia" w:eastAsia="仿宋_GB2312"/>
          <w:sz w:val="30"/>
          <w:szCs w:val="30"/>
        </w:rPr>
        <w:t>2.公务用车购置及运行维护费预算2,581,500.00元，支出决算2,581,500.00元，与预算相比持平，完成预算的100.000%；支出决算较上年持平。决算数与预算数持平的主要原因是严格按照预算执行；决算数较上年持平的主要原因是本年度克服公务活动增加、燃油价格上涨等困难，在细节中抓节约，严格控制公务用车运行费支出范围。</w:t>
      </w:r>
      <w:r>
        <w:rPr>
          <w:rFonts w:eastAsia="仿宋_GB2312"/>
          <w:sz w:val="30"/>
          <w:szCs w:val="30"/>
        </w:rPr>
        <w:t>其中</w:t>
      </w:r>
      <w:r>
        <w:rPr>
          <w:rFonts w:hint="eastAsia" w:eastAsia="仿宋_GB2312"/>
          <w:sz w:val="30"/>
          <w:szCs w:val="30"/>
        </w:rPr>
        <w:t>：</w:t>
      </w:r>
    </w:p>
    <w:p>
      <w:pPr>
        <w:spacing w:line="600" w:lineRule="exact"/>
        <w:ind w:firstLine="600" w:firstLineChars="200"/>
        <w:jc w:val="both"/>
        <w:rPr>
          <w:rFonts w:eastAsia="仿宋_GB2312"/>
          <w:sz w:val="30"/>
          <w:szCs w:val="30"/>
        </w:rPr>
      </w:pPr>
      <w:r>
        <w:rPr>
          <w:rFonts w:hint="eastAsia" w:eastAsia="仿宋_GB2312"/>
          <w:sz w:val="30"/>
          <w:szCs w:val="30"/>
        </w:rPr>
        <w:t>公务用车运行维护费预算2,581,500.00元，支出决算2,581,500.00元，与预算相比持平，完成预算的100.000%；支出决算较上年增加42,991.16元，增长1.694%。决算数与预算数持平的主要原因是严格按照预算执行；决算数较上年增加的主要原因是本年度公务活动增加和燃油价格上涨。</w:t>
      </w:r>
    </w:p>
    <w:p>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截至2024年12月31日，使用财政拨款开支运行维护费的公务用车保有量为176辆。</w:t>
      </w:r>
    </w:p>
    <w:p>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减少42,991.16元，下降100.000%。决算数与预算数持平的主要原因是本年度未用财政拨款经费列支公务用车购置费；决算数较上年减少的主要原因是本年度未用财政拨款经费列支公务用车购置费。</w:t>
      </w:r>
    </w:p>
    <w:p>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pPr>
        <w:pStyle w:val="3"/>
        <w:spacing w:before="0" w:after="0" w:line="600" w:lineRule="exact"/>
        <w:ind w:firstLine="602" w:firstLineChars="200"/>
        <w:rPr>
          <w:rFonts w:ascii="黑体" w:hAnsi="黑体" w:eastAsia="黑体" w:cs="仿宋_GB2312"/>
          <w:sz w:val="30"/>
          <w:szCs w:val="30"/>
        </w:rPr>
      </w:pPr>
      <w:bookmarkStart w:id="86" w:name="_Toc1895013942"/>
      <w:bookmarkStart w:id="87" w:name="_Toc1349690397"/>
      <w:bookmarkStart w:id="88" w:name="_Toc20786419"/>
      <w:bookmarkStart w:id="89" w:name="_Toc2102885201"/>
      <w:r>
        <w:rPr>
          <w:rFonts w:hint="eastAsia" w:ascii="黑体" w:hAnsi="黑体" w:eastAsia="黑体" w:cs="仿宋_GB2312"/>
          <w:sz w:val="30"/>
          <w:szCs w:val="30"/>
        </w:rPr>
        <w:t>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hint="eastAsia" w:eastAsia="仿宋_GB2312"/>
          <w:sz w:val="30"/>
          <w:szCs w:val="30"/>
        </w:rPr>
        <w:t>机关运行经费是指行政单位和参照公务员法管理的事业单位使用财政拨款安排的基本支出中的日常公用经费支出，天津市滨海新区机关事务管理局2024年度机关运行经费年初预算3,951,683.41元，决算数3,951,683.41元，与年初预算相比持平，完成年初预算的100.000%；比2023年减少1,801,184.52元，下降31.309%，主要原因是：按照压减基本支出预算规模的要求，2024 年列入基本支出的公务用车运行费减少，导致 2024 年机关运行经费整体支出下降。</w:t>
      </w:r>
    </w:p>
    <w:p>
      <w:pPr>
        <w:pStyle w:val="3"/>
        <w:spacing w:before="0" w:after="0" w:line="600" w:lineRule="exact"/>
        <w:ind w:firstLine="602" w:firstLineChars="200"/>
        <w:rPr>
          <w:rFonts w:ascii="黑体" w:hAnsi="黑体" w:eastAsia="黑体" w:cs="仿宋_GB2312"/>
          <w:sz w:val="30"/>
          <w:szCs w:val="30"/>
        </w:rPr>
      </w:pPr>
      <w:bookmarkStart w:id="90" w:name="_Toc169354537"/>
      <w:bookmarkStart w:id="91" w:name="_Toc2053194528"/>
      <w:bookmarkStart w:id="92" w:name="_Toc1464993319"/>
      <w:bookmarkStart w:id="93" w:name="_Toc376739118"/>
      <w:r>
        <w:rPr>
          <w:rFonts w:hint="eastAsia" w:ascii="黑体" w:hAnsi="黑体" w:eastAsia="黑体" w:cs="仿宋_GB2312"/>
          <w:sz w:val="30"/>
          <w:szCs w:val="30"/>
        </w:rPr>
        <w:t>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hint="eastAsia" w:eastAsia="仿宋_GB2312"/>
          <w:sz w:val="30"/>
          <w:szCs w:val="30"/>
        </w:rPr>
        <w:t>天津市滨海新区机关事务管理局2024年政府采购支出总额141,944,394.96元，其中：政府采购货物支出16,800.00元、政府采购工程支出0.00元、政府采购服务支出141,927,594.96元。授予中小企业合同金额140,181,594.96元，占政府采购支出总额的98.758%，其中：授予小微企业合同金额140,181,594.96元，占政府采购支出总额的98.758%；货物采购授予中小企业合同金额占货物支出金额的100.000%，工程采购授予中小企业合同金额占工程支出金额的0.000%，服务采购授予中小企业合同金额占服务支出金额的98.758%。</w:t>
      </w:r>
    </w:p>
    <w:p>
      <w:pPr>
        <w:pStyle w:val="3"/>
        <w:spacing w:before="0" w:after="0" w:line="600" w:lineRule="exact"/>
        <w:ind w:firstLine="602" w:firstLineChars="200"/>
        <w:rPr>
          <w:rFonts w:ascii="黑体" w:hAnsi="黑体" w:eastAsia="黑体" w:cs="仿宋_GB2312"/>
          <w:sz w:val="30"/>
          <w:szCs w:val="30"/>
        </w:rPr>
      </w:pPr>
      <w:bookmarkStart w:id="94" w:name="_Toc1242699578"/>
      <w:bookmarkStart w:id="95" w:name="_Toc125708453"/>
      <w:bookmarkStart w:id="96" w:name="_Toc925871084"/>
      <w:bookmarkStart w:id="97" w:name="_Toc1072564870"/>
      <w:r>
        <w:rPr>
          <w:rFonts w:hint="eastAsia" w:ascii="黑体" w:hAnsi="黑体" w:eastAsia="黑体" w:cs="仿宋_GB2312"/>
          <w:sz w:val="30"/>
          <w:szCs w:val="30"/>
        </w:rPr>
        <w:t>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截至2024年12月31日，天津市滨海新区机关事务管理局共有车辆222辆，其中：副部（省）级及以上领导用车5辆、应急保障用车127辆、执法执勤用车52辆、离退休干部服务用车38辆。单价100万元以上的设备0台（套）。</w:t>
      </w:r>
    </w:p>
    <w:p>
      <w:pPr>
        <w:pStyle w:val="3"/>
        <w:spacing w:before="0" w:after="0" w:line="600" w:lineRule="exact"/>
        <w:ind w:firstLine="602" w:firstLineChars="200"/>
        <w:rPr>
          <w:rFonts w:ascii="黑体" w:hAnsi="黑体" w:eastAsia="黑体" w:cs="仿宋_GB2312"/>
          <w:sz w:val="30"/>
          <w:szCs w:val="30"/>
        </w:rPr>
      </w:pPr>
      <w:bookmarkStart w:id="99" w:name="_Toc1805544570"/>
      <w:bookmarkStart w:id="100" w:name="_Toc448802626"/>
      <w:bookmarkStart w:id="101" w:name="_Toc1773340371"/>
      <w:r>
        <w:rPr>
          <w:rFonts w:hint="eastAsia" w:ascii="黑体" w:hAnsi="黑体" w:eastAsia="黑体" w:cs="仿宋_GB2312"/>
          <w:sz w:val="30"/>
          <w:szCs w:val="30"/>
        </w:rPr>
        <w:t>十三、预算绩效情况说明</w:t>
      </w:r>
      <w:bookmarkEnd w:id="98"/>
      <w:bookmarkEnd w:id="99"/>
      <w:bookmarkEnd w:id="100"/>
      <w:bookmarkEnd w:id="101"/>
    </w:p>
    <w:p>
      <w:pPr>
        <w:spacing w:line="600" w:lineRule="exact"/>
        <w:jc w:val="both"/>
        <w:rPr>
          <w:rFonts w:eastAsia="仿宋_GB2312"/>
          <w:sz w:val="30"/>
          <w:szCs w:val="30"/>
        </w:rPr>
      </w:pPr>
      <w:r>
        <w:rPr>
          <w:rFonts w:hint="eastAsia" w:eastAsia="仿宋_GB2312"/>
          <w:sz w:val="30"/>
          <w:szCs w:val="30"/>
        </w:rPr>
        <w:t xml:space="preserve">    天津市滨海新区机关事务管理局已对4个2024年度区级项目开展绩效自评,涉及金额150568432.48元,自评结果已随部门决算一并公开。</w:t>
      </w:r>
    </w:p>
    <w:p>
      <w:pPr>
        <w:pStyle w:val="3"/>
        <w:spacing w:before="0" w:after="0" w:line="600" w:lineRule="exact"/>
        <w:ind w:firstLine="602" w:firstLineChars="200"/>
        <w:rPr>
          <w:rFonts w:ascii="黑体" w:hAnsi="黑体" w:eastAsia="黑体" w:cs="仿宋_GB2312"/>
          <w:sz w:val="30"/>
          <w:szCs w:val="30"/>
        </w:rPr>
      </w:pPr>
      <w:bookmarkStart w:id="102" w:name="_Toc1753562331"/>
      <w:bookmarkStart w:id="103" w:name="_Toc1843655880"/>
      <w:bookmarkStart w:id="104" w:name="_Toc1374094560"/>
      <w:bookmarkStart w:id="105" w:name="_Toc1063166918"/>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hint="eastAsia" w:eastAsia="仿宋_GB2312"/>
          <w:sz w:val="30"/>
          <w:szCs w:val="30"/>
        </w:rPr>
        <w:t xml:space="preserve">    天津市滨海新区机关事务管理局不属于乡、镇、街级单位,不涉及公开2024年度教育、医疗卫生、社会保障和就业、住房保障、涉农补贴等民生支出情况。</w:t>
      </w:r>
      <w:r>
        <w:br w:type="page"/>
      </w:r>
    </w:p>
    <w:p>
      <w:pPr>
        <w:pStyle w:val="2"/>
        <w:spacing w:before="0" w:after="0" w:line="600" w:lineRule="exact"/>
        <w:jc w:val="center"/>
        <w:rPr>
          <w:rFonts w:ascii="方正小标宋简体" w:hAnsi="方正小标宋简体" w:eastAsia="方正小标宋简体" w:cs="方正小标宋简体"/>
          <w:b w:val="0"/>
        </w:rPr>
      </w:pPr>
      <w:bookmarkStart w:id="106" w:name="_Toc282832597"/>
      <w:bookmarkStart w:id="107" w:name="_Toc56525689"/>
      <w:bookmarkStart w:id="108" w:name="_Toc1582447786"/>
      <w:bookmarkStart w:id="109" w:name="_Toc368130082"/>
      <w:r>
        <w:rPr>
          <w:rFonts w:hint="eastAsia" w:ascii="方正小标宋简体" w:hAnsi="方正小标宋简体" w:eastAsia="方正小标宋简体" w:cs="方正小标宋简体"/>
          <w:b w:val="0"/>
        </w:rPr>
        <w:t>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DF2ED9E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5989</Words>
  <Characters>34138</Characters>
  <Lines>284</Lines>
  <Paragraphs>80</Paragraphs>
  <TotalTime>0</TotalTime>
  <ScaleCrop>false</ScaleCrop>
  <LinksUpToDate>false</LinksUpToDate>
  <CharactersWithSpaces>40047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2019-08-12T02:37:00Z</dcterms:created>
  <dc:creator>Administrator</dc:creator>
  <cp:lastModifiedBy>资产审核工作组</cp:lastModifiedBy>
  <cp:lastPrinted>2025-07-09T11:27:00Z</cp:lastPrinted>
  <dcterms:modified xsi:type="dcterms:W3CDTF">2025-09-22T16:10:54Z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