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天津市滨海新区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lang w:eastAsia="zh-CN"/>
              </w:rPr>
              <w:t>大港第三中学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highlight w:val="none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  <w:highlight w:val="none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8" w:lineRule="exact"/>
        <w:jc w:val="left"/>
        <w:rPr>
          <w:rFonts w:eastAsia="方正仿宋简体"/>
          <w:sz w:val="34"/>
          <w:szCs w:val="34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sz w:val="28"/>
          <w:szCs w:val="28"/>
          <w:highlight w:val="none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jc w:val="left"/>
        <w:rPr>
          <w:sz w:val="28"/>
          <w:szCs w:val="28"/>
          <w:highlight w:val="none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  <w:highlight w:val="none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  <w:highlight w:val="none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  <w:highlight w:val="none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highlight w:val="none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  <w:highlight w:val="none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来信来访地址：天津市滨海新区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  <w:t>大港第三中学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p>
      <w:pPr>
        <w:rPr>
          <w:sz w:val="24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sz w:val="24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sz w:val="24"/>
          <w:highlight w:val="none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  <w:highlight w:val="none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highlight w:val="none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大港第三中学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025F5A8E"/>
    <w:rsid w:val="44601F8D"/>
    <w:rsid w:val="46CE70EE"/>
    <w:rsid w:val="5498220D"/>
    <w:rsid w:val="58D714E2"/>
    <w:rsid w:val="70B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4828</Words>
  <Characters>5111</Characters>
  <Lines>46</Lines>
  <Paragraphs>13</Paragraphs>
  <TotalTime>304</TotalTime>
  <ScaleCrop>false</ScaleCrop>
  <LinksUpToDate>false</LinksUpToDate>
  <CharactersWithSpaces>5121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2024-06-26T03:16:15Z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403CCC39116D4EDAB9004D318BD20852_12</vt:lpwstr>
  </property>
</Properties>
</file>