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817" w:tblpY="466"/>
        <w:tblOverlap w:val="never"/>
        <w:tblW w:w="8918" w:type="dxa"/>
        <w:tblInd w:w="0"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tbl>
            <w:tblPr>
              <w:tblStyle w:val="5"/>
              <w:tblpPr w:leftFromText="180" w:rightFromText="180" w:horzAnchor="margin" w:tblpY="-1903"/>
              <w:tblOverlap w:val="never"/>
              <w:tblW w:w="8804" w:type="dxa"/>
              <w:tblInd w:w="0" w:type="dxa"/>
              <w:tblLayout w:type="fixed"/>
              <w:tblCellMar>
                <w:top w:w="0" w:type="dxa"/>
                <w:left w:w="108" w:type="dxa"/>
                <w:bottom w:w="0" w:type="dxa"/>
                <w:right w:w="108" w:type="dxa"/>
              </w:tblCellMar>
            </w:tblPr>
            <w:tblGrid>
              <w:gridCol w:w="516"/>
              <w:gridCol w:w="1393"/>
              <w:gridCol w:w="1032"/>
              <w:gridCol w:w="4304"/>
              <w:gridCol w:w="1559"/>
            </w:tblGrid>
            <w:tr>
              <w:tblPrEx>
                <w:tblCellMar>
                  <w:top w:w="0" w:type="dxa"/>
                  <w:left w:w="108" w:type="dxa"/>
                  <w:bottom w:w="0" w:type="dxa"/>
                  <w:right w:w="108" w:type="dxa"/>
                </w:tblCellMar>
              </w:tblPrEx>
              <w:trPr>
                <w:trHeight w:val="615" w:hRule="atLeast"/>
              </w:trPr>
              <w:tc>
                <w:tcPr>
                  <w:tcW w:w="8804" w:type="dxa"/>
                  <w:gridSpan w:val="5"/>
                  <w:tcBorders>
                    <w:top w:val="nil"/>
                    <w:left w:val="nil"/>
                    <w:bottom w:val="single" w:color="auto" w:sz="4" w:space="0"/>
                    <w:right w:val="nil"/>
                  </w:tcBorders>
                  <w:vAlign w:val="center"/>
                </w:tcPr>
                <w:p>
                  <w:pPr>
                    <w:widowControl/>
                    <w:jc w:val="center"/>
                    <w:rPr>
                      <w:rFonts w:ascii="方正小标宋简体" w:hAnsi="宋体" w:eastAsia="方正小标宋简体" w:cs="宋体"/>
                      <w:kern w:val="0"/>
                      <w:sz w:val="18"/>
                      <w:szCs w:val="18"/>
                    </w:rPr>
                  </w:pPr>
                  <w:r>
                    <w:rPr>
                      <w:rFonts w:hint="eastAsia" w:ascii="方正小标宋简体" w:hAnsi="宋体" w:eastAsia="方正小标宋简体" w:cs="宋体"/>
                      <w:kern w:val="0"/>
                      <w:sz w:val="32"/>
                      <w:szCs w:val="18"/>
                      <w:u w:val="single"/>
                    </w:rPr>
                    <w:t>天津市滨海新区塘沽大庆道小学</w:t>
                  </w:r>
                  <w:r>
                    <w:rPr>
                      <w:rFonts w:hint="eastAsia" w:ascii="方正小标宋简体" w:hAnsi="宋体" w:eastAsia="方正小标宋简体" w:cs="宋体"/>
                      <w:kern w:val="0"/>
                      <w:sz w:val="32"/>
                      <w:szCs w:val="18"/>
                    </w:rPr>
                    <w:t>职责目录</w:t>
                  </w:r>
                </w:p>
              </w:tc>
            </w:tr>
            <w:tr>
              <w:tblPrEx>
                <w:tblCellMar>
                  <w:top w:w="0" w:type="dxa"/>
                  <w:left w:w="108" w:type="dxa"/>
                  <w:bottom w:w="0" w:type="dxa"/>
                  <w:right w:w="108" w:type="dxa"/>
                </w:tblCellMar>
              </w:tblPrEx>
              <w:trPr>
                <w:trHeight w:val="465" w:hRule="atLeast"/>
              </w:trPr>
              <w:tc>
                <w:tcPr>
                  <w:tcW w:w="516" w:type="dxa"/>
                  <w:vMerge w:val="restart"/>
                  <w:tcBorders>
                    <w:top w:val="single" w:color="auto" w:sz="4" w:space="0"/>
                    <w:left w:val="single" w:color="auto" w:sz="4"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1393" w:type="dxa"/>
                  <w:vMerge w:val="restart"/>
                  <w:tcBorders>
                    <w:top w:val="single" w:color="auto" w:sz="4"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主要</w:t>
                  </w:r>
                </w:p>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w:t>
                  </w:r>
                </w:p>
              </w:tc>
              <w:tc>
                <w:tcPr>
                  <w:tcW w:w="6895" w:type="dxa"/>
                  <w:gridSpan w:val="3"/>
                  <w:tcBorders>
                    <w:top w:val="single" w:color="auto" w:sz="4"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职责事项</w:t>
                  </w:r>
                </w:p>
              </w:tc>
            </w:tr>
            <w:tr>
              <w:tblPrEx>
                <w:tblCellMar>
                  <w:top w:w="0" w:type="dxa"/>
                  <w:left w:w="108" w:type="dxa"/>
                  <w:bottom w:w="0" w:type="dxa"/>
                  <w:right w:w="108" w:type="dxa"/>
                </w:tblCellMar>
              </w:tblPrEx>
              <w:trPr>
                <w:trHeight w:val="795" w:hRule="atLeast"/>
              </w:trPr>
              <w:tc>
                <w:tcPr>
                  <w:tcW w:w="516" w:type="dxa"/>
                  <w:vMerge w:val="continue"/>
                  <w:tcBorders>
                    <w:top w:val="single" w:color="auto" w:sz="4" w:space="0"/>
                    <w:left w:val="single" w:color="auto" w:sz="4"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393" w:type="dxa"/>
                  <w:vMerge w:val="continue"/>
                  <w:tcBorders>
                    <w:top w:val="single" w:color="auto" w:sz="4" w:space="0"/>
                    <w:left w:val="single" w:color="auto" w:sz="6" w:space="0"/>
                    <w:bottom w:val="single" w:color="auto" w:sz="6" w:space="0"/>
                    <w:right w:val="single" w:color="auto" w:sz="6" w:space="0"/>
                  </w:tcBorders>
                  <w:vAlign w:val="center"/>
                </w:tcPr>
                <w:p>
                  <w:pPr>
                    <w:widowControl/>
                    <w:jc w:val="left"/>
                    <w:rPr>
                      <w:rFonts w:ascii="方正黑体简体" w:hAnsi="宋体" w:eastAsia="方正黑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序号</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名称</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页码</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保障学生权益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维护学生平等入学权利　</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实行均衡编班，不分重点班与非重点班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w:t>
                  </w:r>
                </w:p>
              </w:tc>
            </w:tr>
            <w:tr>
              <w:tblPrEx>
                <w:tblCellMar>
                  <w:top w:w="0" w:type="dxa"/>
                  <w:left w:w="108" w:type="dxa"/>
                  <w:bottom w:w="0" w:type="dxa"/>
                  <w:right w:w="108" w:type="dxa"/>
                </w:tblCellMar>
              </w:tblPrEx>
              <w:trPr>
                <w:trHeight w:val="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实行收费公示制度，严格执行国家关于义务教育免费的规定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执行国家学籍管理相关规定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4</w:t>
                  </w:r>
                </w:p>
              </w:tc>
            </w:tr>
            <w:tr>
              <w:tblPrEx>
                <w:tblCellMar>
                  <w:top w:w="0" w:type="dxa"/>
                  <w:left w:w="108" w:type="dxa"/>
                  <w:bottom w:w="0" w:type="dxa"/>
                  <w:right w:w="108" w:type="dxa"/>
                </w:tblCellMar>
              </w:tblPrEx>
              <w:trPr>
                <w:trHeight w:val="792"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1.5</w:t>
                  </w:r>
                </w:p>
              </w:tc>
              <w:tc>
                <w:tcPr>
                  <w:tcW w:w="4304" w:type="dxa"/>
                  <w:tcBorders>
                    <w:top w:val="single" w:color="auto" w:sz="6" w:space="0"/>
                    <w:left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为适龄残疾儿童创设条件，满足其随班就读需求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5</w:t>
                  </w:r>
                </w:p>
              </w:tc>
            </w:tr>
            <w:tr>
              <w:tblPrEx>
                <w:tblCellMar>
                  <w:top w:w="0" w:type="dxa"/>
                  <w:left w:w="108" w:type="dxa"/>
                  <w:bottom w:w="0" w:type="dxa"/>
                  <w:right w:w="108" w:type="dxa"/>
                </w:tblCellMar>
              </w:tblPrEx>
              <w:trPr>
                <w:trHeight w:val="1254" w:hRule="atLeast"/>
              </w:trPr>
              <w:tc>
                <w:tcPr>
                  <w:tcW w:w="516" w:type="dxa"/>
                  <w:vMerge w:val="restart"/>
                  <w:tcBorders>
                    <w:top w:val="single" w:color="auto" w:sz="6" w:space="0"/>
                    <w:left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1393" w:type="dxa"/>
                  <w:vMerge w:val="restart"/>
                  <w:tcBorders>
                    <w:top w:val="single" w:color="auto" w:sz="6" w:space="0"/>
                    <w:left w:val="single" w:color="auto" w:sz="6"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促进学生全面发展</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2.1</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开展爱国主义教育，理想信念教育，社会主义核心价值观</w:t>
                  </w:r>
                  <w:bookmarkStart w:id="0" w:name="_GoBack"/>
                  <w:bookmarkEnd w:id="0"/>
                  <w:r>
                    <w:rPr>
                      <w:rFonts w:hint="eastAsia" w:ascii="方正黑体简体" w:hAnsi="宋体" w:eastAsia="方正黑体简体" w:cs="宋体"/>
                      <w:kern w:val="0"/>
                      <w:sz w:val="18"/>
                      <w:szCs w:val="18"/>
                    </w:rPr>
                    <w:t>教育，中华优秀传统文化教育，生态文明教育和心理健康教育</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6</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坚持德育为首，探索课程育人，文化育人，活动育人，实践育人，管理育人，协同育人等多种育人途径</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7</w:t>
                  </w:r>
                </w:p>
              </w:tc>
            </w:tr>
            <w:tr>
              <w:tblPrEx>
                <w:tblCellMar>
                  <w:top w:w="0" w:type="dxa"/>
                  <w:left w:w="108" w:type="dxa"/>
                  <w:bottom w:w="0" w:type="dxa"/>
                  <w:right w:w="108" w:type="dxa"/>
                </w:tblCellMar>
              </w:tblPrEx>
              <w:trPr>
                <w:trHeight w:val="80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2.3</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学生个体差异，因材施教，激发学生学习兴趣，培养学生学习习惯，促进学生全面发展</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2.4</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将心理教育贯穿于教育的全过程，开展心理辅导</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9</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2.5</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确保学生每天锻炼一小时，开展大课间活动，使每位学生掌握至少两项体育运动技能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10</w:t>
                  </w:r>
                </w:p>
              </w:tc>
            </w:tr>
            <w:tr>
              <w:tblPrEx>
                <w:tblCellMar>
                  <w:top w:w="0" w:type="dxa"/>
                  <w:left w:w="108" w:type="dxa"/>
                  <w:bottom w:w="0" w:type="dxa"/>
                  <w:right w:w="108" w:type="dxa"/>
                </w:tblCellMar>
              </w:tblPrEx>
              <w:trPr>
                <w:trHeight w:val="83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2.6</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定期开展学生体检和体质健康监测，建立学生健康档案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11</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 xml:space="preserve">2.7                                                                                                                                                                                                                                                                                                                                                                                                                                                                                                                                                                                                                                                                                                                     </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按照国家要求，开足开齐音乐、美术课，开设书法课，培养学生艺术爱好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12</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2.8</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多渠道多形式开展综合实践活动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13</w:t>
                  </w:r>
                </w:p>
              </w:tc>
            </w:tr>
            <w:tr>
              <w:tblPrEx>
                <w:tblCellMar>
                  <w:top w:w="0" w:type="dxa"/>
                  <w:left w:w="108" w:type="dxa"/>
                  <w:bottom w:w="0" w:type="dxa"/>
                  <w:right w:w="108" w:type="dxa"/>
                </w:tblCellMar>
              </w:tblPrEx>
              <w:trPr>
                <w:trHeight w:val="1184" w:hRule="atLeast"/>
              </w:trPr>
              <w:tc>
                <w:tcPr>
                  <w:tcW w:w="516" w:type="dxa"/>
                  <w:vMerge w:val="restart"/>
                  <w:tcBorders>
                    <w:top w:val="single" w:color="auto" w:sz="6" w:space="0"/>
                    <w:left w:val="single" w:color="auto" w:sz="4"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c>
                <w:tcPr>
                  <w:tcW w:w="1393" w:type="dxa"/>
                  <w:vMerge w:val="restart"/>
                  <w:tcBorders>
                    <w:top w:val="single" w:color="auto" w:sz="6" w:space="0"/>
                    <w:left w:val="single" w:color="auto" w:sz="6" w:space="0"/>
                    <w:bottom w:val="single" w:color="auto" w:sz="4" w:space="0"/>
                    <w:right w:val="single" w:color="auto" w:sz="6" w:space="0"/>
                  </w:tcBorders>
                  <w:vAlign w:val="center"/>
                </w:tcPr>
                <w:p>
                  <w:pPr>
                    <w:widowControl/>
                    <w:jc w:val="center"/>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促进教师专业发展　</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3.1</w:t>
                  </w:r>
                </w:p>
              </w:tc>
              <w:tc>
                <w:tcPr>
                  <w:tcW w:w="4304" w:type="dxa"/>
                  <w:tcBorders>
                    <w:top w:val="single" w:color="auto" w:sz="6" w:space="0"/>
                    <w:left w:val="single" w:color="auto" w:sz="6" w:space="0"/>
                    <w:bottom w:val="single" w:color="auto" w:sz="6" w:space="0"/>
                    <w:right w:val="single" w:color="auto" w:sz="6" w:space="0"/>
                  </w:tcBorders>
                  <w:vAlign w:val="center"/>
                </w:tcPr>
                <w:p>
                  <w:pPr>
                    <w:tabs>
                      <w:tab w:val="left" w:pos="3400"/>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加强教师思想政治教育和师德建设，严格遵守中小学教师职业道德规范，增强教师立德树人的荣誉感和责任感，做“四有”好教师</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14</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3.2</w:t>
                  </w:r>
                </w:p>
              </w:tc>
              <w:tc>
                <w:tcPr>
                  <w:tcW w:w="4304" w:type="dxa"/>
                  <w:tcBorders>
                    <w:top w:val="single" w:color="auto" w:sz="6" w:space="0"/>
                    <w:left w:val="single" w:color="auto" w:sz="6" w:space="0"/>
                    <w:bottom w:val="single" w:color="auto" w:sz="6" w:space="0"/>
                    <w:right w:val="single" w:color="auto" w:sz="6" w:space="0"/>
                  </w:tcBorders>
                  <w:vAlign w:val="center"/>
                </w:tcPr>
                <w:p>
                  <w:pPr>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实行教师聘任制度，完善考核评价，保证教师待遇</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15</w:t>
                  </w:r>
                </w:p>
              </w:tc>
            </w:tr>
            <w:tr>
              <w:tblPrEx>
                <w:tblCellMar>
                  <w:top w:w="0" w:type="dxa"/>
                  <w:left w:w="108" w:type="dxa"/>
                  <w:bottom w:w="0" w:type="dxa"/>
                  <w:right w:w="108" w:type="dxa"/>
                </w:tblCellMar>
              </w:tblPrEx>
              <w:trPr>
                <w:trHeight w:val="690" w:hRule="atLeast"/>
              </w:trPr>
              <w:tc>
                <w:tcPr>
                  <w:tcW w:w="516"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完善培训制度，支持和保障教师进行培训</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4</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提升教育教学水平</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落实国家义务课程方案和课程标准，开设地方课程和校本课程，落实综合实践活动课程要求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严格遵守国家关于教材教辅管理的相关规定</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18</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建立教学常规管理制度和教学质量保障机制</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19</w:t>
                  </w:r>
                </w:p>
              </w:tc>
            </w:tr>
            <w:tr>
              <w:tblPrEx>
                <w:tblCellMar>
                  <w:top w:w="0" w:type="dxa"/>
                  <w:left w:w="108" w:type="dxa"/>
                  <w:bottom w:w="0" w:type="dxa"/>
                  <w:right w:w="108" w:type="dxa"/>
                </w:tblCellMar>
              </w:tblPrEx>
              <w:trPr>
                <w:trHeight w:val="621"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采取启发式、讨论式、合作式、探究式等教学方式，提高学生课堂学习主动性</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20</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4.5</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落实减负工作要求</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21</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4.6</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按照规定配备教学资源和教学设施设备，加强管理，提高使用效益</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22</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5</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加强校园安全</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2724"/>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建立健全学校安全卫生管理制度和工作机制，保障师生人身安全、食品饮水安全、设施安全和活动安全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23</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设置安全警示标志，开展安全教育活动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24</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重点加强防溺水、交通安全和预防校园欺凌教育，了解、掌握一定的安全技能</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25</w:t>
                  </w:r>
                </w:p>
              </w:tc>
            </w:tr>
            <w:tr>
              <w:tblPrEx>
                <w:tblCellMar>
                  <w:top w:w="0" w:type="dxa"/>
                  <w:left w:w="108" w:type="dxa"/>
                  <w:bottom w:w="0" w:type="dxa"/>
                  <w:right w:w="108" w:type="dxa"/>
                </w:tblCellMar>
              </w:tblPrEx>
              <w:trPr>
                <w:trHeight w:val="75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5.4</w:t>
                  </w:r>
                </w:p>
              </w:tc>
              <w:tc>
                <w:tcPr>
                  <w:tcW w:w="4304" w:type="dxa"/>
                  <w:tcBorders>
                    <w:top w:val="single" w:color="auto" w:sz="6" w:space="0"/>
                    <w:left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定期开展应急演练，提高师生应对突发事件和自救自护能力</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26</w:t>
                  </w:r>
                </w:p>
              </w:tc>
            </w:tr>
            <w:tr>
              <w:tblPrEx>
                <w:tblCellMar>
                  <w:top w:w="0" w:type="dxa"/>
                  <w:left w:w="108" w:type="dxa"/>
                  <w:bottom w:w="0" w:type="dxa"/>
                  <w:right w:w="108" w:type="dxa"/>
                </w:tblCellMar>
              </w:tblPrEx>
              <w:trPr>
                <w:trHeight w:val="690" w:hRule="atLeast"/>
              </w:trPr>
              <w:tc>
                <w:tcPr>
                  <w:tcW w:w="516" w:type="dxa"/>
                  <w:vMerge w:val="restart"/>
                  <w:tcBorders>
                    <w:top w:val="single" w:color="auto" w:sz="6" w:space="0"/>
                    <w:left w:val="single" w:color="auto" w:sz="4" w:space="0"/>
                    <w:right w:val="single" w:color="auto" w:sz="6" w:space="0"/>
                  </w:tcBorders>
                  <w:vAlign w:val="center"/>
                </w:tcPr>
                <w:p>
                  <w:pPr>
                    <w:widowControl/>
                    <w:jc w:val="left"/>
                    <w:rPr>
                      <w:rFonts w:ascii="宋体" w:hAnsi="宋体" w:cs="宋体"/>
                      <w:kern w:val="0"/>
                      <w:sz w:val="18"/>
                      <w:szCs w:val="18"/>
                    </w:rPr>
                  </w:pPr>
                  <w:r>
                    <w:rPr>
                      <w:rFonts w:hint="eastAsia" w:ascii="宋体" w:hAnsi="宋体" w:cs="宋体"/>
                      <w:kern w:val="0"/>
                      <w:sz w:val="18"/>
                      <w:szCs w:val="18"/>
                    </w:rPr>
                    <w:t>6</w:t>
                  </w:r>
                </w:p>
              </w:tc>
              <w:tc>
                <w:tcPr>
                  <w:tcW w:w="1393" w:type="dxa"/>
                  <w:vMerge w:val="restart"/>
                  <w:tcBorders>
                    <w:top w:val="single" w:color="auto" w:sz="6" w:space="0"/>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r>
                    <w:rPr>
                      <w:rFonts w:hint="eastAsia" w:ascii="方正楷体简体" w:hAnsi="宋体" w:eastAsia="方正楷体简体" w:cs="宋体"/>
                      <w:kern w:val="0"/>
                      <w:sz w:val="18"/>
                      <w:szCs w:val="18"/>
                    </w:rPr>
                    <w:t>依法治校</w:t>
                  </w: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6.1</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制定学校章程和学校发展规划，建立健全各项制度</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27</w:t>
                  </w:r>
                </w:p>
              </w:tc>
            </w:tr>
            <w:tr>
              <w:tblPrEx>
                <w:tblCellMar>
                  <w:top w:w="0" w:type="dxa"/>
                  <w:left w:w="108" w:type="dxa"/>
                  <w:bottom w:w="0" w:type="dxa"/>
                  <w:right w:w="108" w:type="dxa"/>
                </w:tblCellMar>
              </w:tblPrEx>
              <w:trPr>
                <w:trHeight w:val="690"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6.2</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加强学校党组织建设，突出政治功能，把学校党组织建设成领导改革发展的坚强战斗堡垒</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28</w:t>
                  </w:r>
                </w:p>
              </w:tc>
            </w:tr>
            <w:tr>
              <w:tblPrEx>
                <w:tblCellMar>
                  <w:top w:w="0" w:type="dxa"/>
                  <w:left w:w="108" w:type="dxa"/>
                  <w:bottom w:w="0" w:type="dxa"/>
                  <w:right w:w="108" w:type="dxa"/>
                </w:tblCellMar>
              </w:tblPrEx>
              <w:trPr>
                <w:trHeight w:val="495"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6.3</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坚持民主集中制，健全学校教职工大会制度，发挥其参与学校管理的作用</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29</w:t>
                  </w:r>
                </w:p>
              </w:tc>
            </w:tr>
            <w:tr>
              <w:tblPrEx>
                <w:tblCellMar>
                  <w:top w:w="0" w:type="dxa"/>
                  <w:left w:w="108" w:type="dxa"/>
                  <w:bottom w:w="0" w:type="dxa"/>
                  <w:right w:w="108" w:type="dxa"/>
                </w:tblCellMar>
              </w:tblPrEx>
              <w:trPr>
                <w:trHeight w:val="606" w:hRule="atLeast"/>
              </w:trPr>
              <w:tc>
                <w:tcPr>
                  <w:tcW w:w="516" w:type="dxa"/>
                  <w:vMerge w:val="continue"/>
                  <w:tcBorders>
                    <w:left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6"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6.4</w:t>
                  </w:r>
                </w:p>
              </w:tc>
              <w:tc>
                <w:tcPr>
                  <w:tcW w:w="4304" w:type="dxa"/>
                  <w:tcBorders>
                    <w:top w:val="single" w:color="auto" w:sz="6" w:space="0"/>
                    <w:left w:val="single" w:color="auto" w:sz="6" w:space="0"/>
                    <w:bottom w:val="single" w:color="auto" w:sz="6" w:space="0"/>
                    <w:right w:val="single" w:color="auto" w:sz="6" w:space="0"/>
                  </w:tcBorders>
                  <w:vAlign w:val="center"/>
                </w:tcPr>
                <w:p>
                  <w:pPr>
                    <w:widowControl/>
                    <w:tabs>
                      <w:tab w:val="left" w:pos="1449"/>
                    </w:tabs>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多渠道公开学校校务信息，保证教职工学生社会公众知情权</w:t>
                  </w:r>
                </w:p>
              </w:tc>
              <w:tc>
                <w:tcPr>
                  <w:tcW w:w="1559" w:type="dxa"/>
                  <w:tcBorders>
                    <w:top w:val="single" w:color="auto" w:sz="6" w:space="0"/>
                    <w:left w:val="single" w:color="auto" w:sz="6" w:space="0"/>
                    <w:bottom w:val="single" w:color="auto" w:sz="6"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30</w:t>
                  </w:r>
                </w:p>
              </w:tc>
            </w:tr>
            <w:tr>
              <w:tblPrEx>
                <w:tblCellMar>
                  <w:top w:w="0" w:type="dxa"/>
                  <w:left w:w="108" w:type="dxa"/>
                  <w:bottom w:w="0" w:type="dxa"/>
                  <w:right w:w="108" w:type="dxa"/>
                </w:tblCellMar>
              </w:tblPrEx>
              <w:trPr>
                <w:trHeight w:val="666" w:hRule="atLeast"/>
              </w:trPr>
              <w:tc>
                <w:tcPr>
                  <w:tcW w:w="516"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kern w:val="0"/>
                      <w:sz w:val="18"/>
                      <w:szCs w:val="18"/>
                    </w:rPr>
                  </w:pPr>
                </w:p>
              </w:tc>
              <w:tc>
                <w:tcPr>
                  <w:tcW w:w="1393" w:type="dxa"/>
                  <w:vMerge w:val="continue"/>
                  <w:tcBorders>
                    <w:left w:val="single" w:color="auto" w:sz="6" w:space="0"/>
                    <w:bottom w:val="single" w:color="auto" w:sz="4" w:space="0"/>
                    <w:right w:val="single" w:color="auto" w:sz="6" w:space="0"/>
                  </w:tcBorders>
                  <w:vAlign w:val="center"/>
                </w:tcPr>
                <w:p>
                  <w:pPr>
                    <w:widowControl/>
                    <w:jc w:val="left"/>
                    <w:rPr>
                      <w:rFonts w:ascii="方正楷体简体" w:hAnsi="宋体" w:eastAsia="方正楷体简体" w:cs="宋体"/>
                      <w:kern w:val="0"/>
                      <w:sz w:val="18"/>
                      <w:szCs w:val="18"/>
                    </w:rPr>
                  </w:pPr>
                </w:p>
              </w:tc>
              <w:tc>
                <w:tcPr>
                  <w:tcW w:w="1032" w:type="dxa"/>
                  <w:tcBorders>
                    <w:top w:val="single" w:color="auto" w:sz="6" w:space="0"/>
                    <w:left w:val="single" w:color="auto" w:sz="6" w:space="0"/>
                    <w:bottom w:val="single" w:color="auto" w:sz="4" w:space="0"/>
                    <w:right w:val="single" w:color="auto" w:sz="6"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6.5</w:t>
                  </w:r>
                </w:p>
              </w:tc>
              <w:tc>
                <w:tcPr>
                  <w:tcW w:w="4304" w:type="dxa"/>
                  <w:tcBorders>
                    <w:top w:val="single" w:color="auto" w:sz="6" w:space="0"/>
                    <w:left w:val="single" w:color="auto" w:sz="6" w:space="0"/>
                    <w:bottom w:val="single" w:color="auto" w:sz="4" w:space="0"/>
                    <w:right w:val="single" w:color="auto" w:sz="6" w:space="0"/>
                  </w:tcBorders>
                  <w:vAlign w:val="center"/>
                </w:tcPr>
                <w:p>
                  <w:pPr>
                    <w:widowControl/>
                    <w:rPr>
                      <w:rFonts w:ascii="方正黑体简体" w:hAnsi="宋体" w:eastAsia="方正黑体简体" w:cs="宋体"/>
                      <w:kern w:val="0"/>
                      <w:sz w:val="18"/>
                      <w:szCs w:val="18"/>
                    </w:rPr>
                  </w:pPr>
                  <w:r>
                    <w:rPr>
                      <w:rFonts w:hint="eastAsia" w:ascii="方正黑体简体" w:hAnsi="宋体" w:eastAsia="方正黑体简体" w:cs="宋体"/>
                      <w:kern w:val="0"/>
                      <w:sz w:val="18"/>
                      <w:szCs w:val="18"/>
                    </w:rPr>
                    <w:t>健全家委会制度，建立家长学校，提高家长在学校治理中的参与度，形成育人合力</w:t>
                  </w:r>
                </w:p>
              </w:tc>
              <w:tc>
                <w:tcPr>
                  <w:tcW w:w="1559" w:type="dxa"/>
                  <w:tcBorders>
                    <w:top w:val="single" w:color="auto" w:sz="6" w:space="0"/>
                    <w:left w:val="single" w:color="auto" w:sz="6" w:space="0"/>
                    <w:bottom w:val="single" w:color="auto" w:sz="4" w:space="0"/>
                    <w:right w:val="single" w:color="auto" w:sz="4" w:space="0"/>
                  </w:tcBorders>
                  <w:vAlign w:val="center"/>
                </w:tcPr>
                <w:p>
                  <w:pPr>
                    <w:widowControl/>
                    <w:jc w:val="center"/>
                    <w:rPr>
                      <w:rFonts w:ascii="方正仿宋简体" w:hAnsi="宋体" w:eastAsia="方正仿宋简体" w:cs="宋体"/>
                      <w:kern w:val="0"/>
                      <w:sz w:val="18"/>
                      <w:szCs w:val="18"/>
                    </w:rPr>
                  </w:pPr>
                  <w:r>
                    <w:rPr>
                      <w:rFonts w:hint="eastAsia" w:ascii="方正仿宋简体" w:hAnsi="宋体" w:eastAsia="方正仿宋简体" w:cs="宋体"/>
                      <w:kern w:val="0"/>
                      <w:sz w:val="18"/>
                      <w:szCs w:val="18"/>
                    </w:rPr>
                    <w:t>31</w:t>
                  </w:r>
                </w:p>
              </w:tc>
            </w:tr>
          </w:tbl>
          <w:p>
            <w:pPr>
              <w:spacing w:line="588" w:lineRule="exact"/>
              <w:jc w:val="left"/>
              <w:rPr>
                <w:rFonts w:eastAsia="方正仿宋简体"/>
                <w:sz w:val="34"/>
                <w:szCs w:val="34"/>
              </w:rPr>
            </w:pPr>
          </w:p>
          <w:p>
            <w:pPr>
              <w:spacing w:line="588" w:lineRule="exact"/>
              <w:jc w:val="left"/>
              <w:rPr>
                <w:rFonts w:eastAsia="方正仿宋简体"/>
                <w:sz w:val="34"/>
                <w:szCs w:val="34"/>
              </w:rPr>
            </w:pPr>
          </w:p>
          <w:p>
            <w:pPr>
              <w:spacing w:line="588" w:lineRule="exact"/>
              <w:jc w:val="left"/>
              <w:rPr>
                <w:rFonts w:eastAsia="方正仿宋简体"/>
                <w:sz w:val="34"/>
                <w:szCs w:val="34"/>
              </w:rPr>
            </w:pPr>
          </w:p>
          <w:p>
            <w:pPr>
              <w:tabs>
                <w:tab w:val="left" w:pos="673"/>
              </w:tabs>
            </w:pPr>
          </w:p>
          <w:p>
            <w:pPr>
              <w:widowControl/>
              <w:jc w:val="center"/>
              <w:rPr>
                <w:rFonts w:ascii="方正小标宋简体" w:hAnsi="宋体" w:eastAsia="方正小标宋简体" w:cs="宋体"/>
                <w:kern w:val="0"/>
                <w:sz w:val="30"/>
                <w:szCs w:val="30"/>
              </w:rPr>
            </w:pPr>
            <w:r>
              <w:rPr>
                <w:rFonts w:hint="eastAsia" w:ascii="方正小标宋简体" w:hAnsi="宋体" w:eastAsia="方正小标宋简体" w:cs="宋体"/>
                <w:kern w:val="0"/>
                <w:sz w:val="30"/>
                <w:szCs w:val="30"/>
                <w:u w:val="single"/>
              </w:rPr>
              <w:t>维护学生平等入学权利</w:t>
            </w:r>
            <w:r>
              <w:rPr>
                <w:rFonts w:hint="eastAsia" w:ascii="方正小标宋简体" w:hAnsi="宋体" w:eastAsia="方正小标宋简体" w:cs="宋体"/>
                <w:kern w:val="0"/>
                <w:sz w:val="30"/>
                <w:szCs w:val="30"/>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维护学生平等入学权利</w:t>
            </w:r>
          </w:p>
        </w:tc>
      </w:tr>
      <w:tr>
        <w:tblPrEx>
          <w:tblCellMar>
            <w:top w:w="0" w:type="dxa"/>
            <w:left w:w="108" w:type="dxa"/>
            <w:bottom w:w="0" w:type="dxa"/>
            <w:right w:w="108" w:type="dxa"/>
          </w:tblCellMar>
        </w:tblPrEx>
        <w:trPr>
          <w:trHeight w:val="480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第五条，各级人民政府及其有关部门应当履行本法规定的各项职责，保障适龄儿童、少年接受义务教育的权利。</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适龄儿童、少年的父母或者其他法定监护人应当依法保证其按时入学接受并完成义务教育。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依法实施义务教育的学校应当按照规定标准完成教育教学任务，保证教育教学质量。</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社会组织和个人应当为适龄儿童、少年接受义务教育创造良好的环境。</w:t>
            </w:r>
          </w:p>
        </w:tc>
      </w:tr>
      <w:tr>
        <w:tblPrEx>
          <w:tblCellMar>
            <w:top w:w="0" w:type="dxa"/>
            <w:left w:w="108" w:type="dxa"/>
            <w:bottom w:w="0" w:type="dxa"/>
            <w:right w:w="108" w:type="dxa"/>
          </w:tblCellMar>
        </w:tblPrEx>
        <w:trPr>
          <w:trHeight w:val="65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6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按文件规定招生，学校党组织负责监督</w:t>
            </w:r>
          </w:p>
        </w:tc>
      </w:tr>
      <w:tr>
        <w:tblPrEx>
          <w:tblCellMar>
            <w:top w:w="0" w:type="dxa"/>
            <w:left w:w="108" w:type="dxa"/>
            <w:bottom w:w="0" w:type="dxa"/>
            <w:right w:w="108" w:type="dxa"/>
          </w:tblCellMar>
        </w:tblPrEx>
        <w:trPr>
          <w:trHeight w:val="62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每年招生文件中规定的证件及证明。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公示招生方案，按文件要求招生，在教育行政部门领导下录取新生。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ind w:firstLine="480" w:firstLineChars="200"/>
              <w:jc w:val="left"/>
              <w:rPr>
                <w:rFonts w:hint="eastAsia" w:asciiTheme="majorEastAsia" w:hAnsiTheme="majorEastAsia" w:eastAsiaTheme="majorEastAsia" w:cstheme="majorEastAsia"/>
                <w:kern w:val="0"/>
                <w:sz w:val="24"/>
                <w:lang w:eastAsia="zh-CN"/>
              </w:rPr>
            </w:pPr>
          </w:p>
          <w:p>
            <w:pPr>
              <w:widowControl/>
              <w:ind w:firstLine="480" w:firstLineChars="200"/>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bl>
    <w:p>
      <w:pPr>
        <w:spacing w:line="588" w:lineRule="exact"/>
        <w:jc w:val="left"/>
        <w:rPr>
          <w:rFonts w:asciiTheme="majorEastAsia" w:hAnsiTheme="majorEastAsia" w:eastAsiaTheme="majorEastAsia" w:cstheme="majorEastAsia"/>
          <w:sz w:val="24"/>
        </w:rPr>
      </w:pPr>
    </w:p>
    <w:p>
      <w:pPr>
        <w:spacing w:line="588" w:lineRule="exact"/>
        <w:jc w:val="left"/>
        <w:rPr>
          <w:rFonts w:asciiTheme="majorEastAsia" w:hAnsiTheme="majorEastAsia" w:eastAsiaTheme="majorEastAsia" w:cstheme="majorEastAsia"/>
          <w:sz w:val="24"/>
        </w:rPr>
      </w:pPr>
    </w:p>
    <w:p>
      <w:pPr>
        <w:rPr>
          <w:rFonts w:asciiTheme="majorEastAsia" w:hAnsiTheme="majorEastAsia" w:eastAsiaTheme="majorEastAsia" w:cstheme="majorEastAsia"/>
          <w:sz w:val="24"/>
        </w:rPr>
      </w:pPr>
    </w:p>
    <w:tbl>
      <w:tblPr>
        <w:tblStyle w:val="5"/>
        <w:tblW w:w="8918" w:type="dxa"/>
        <w:tblInd w:w="93" w:type="dxa"/>
        <w:tblLayout w:type="fixed"/>
        <w:tblCellMar>
          <w:top w:w="0" w:type="dxa"/>
          <w:left w:w="108" w:type="dxa"/>
          <w:bottom w:w="0" w:type="dxa"/>
          <w:right w:w="108" w:type="dxa"/>
        </w:tblCellMar>
      </w:tblPr>
      <w:tblGrid>
        <w:gridCol w:w="2283"/>
        <w:gridCol w:w="6635"/>
      </w:tblGrid>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kern w:val="0"/>
                <w:sz w:val="24"/>
                <w:u w:val="single"/>
              </w:rPr>
              <w:t>实行均衡编班，不分重点班与非重点班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实行均衡编班，不分重点班与非重点班</w:t>
            </w:r>
          </w:p>
        </w:tc>
      </w:tr>
      <w:tr>
        <w:tblPrEx>
          <w:tblCellMar>
            <w:top w:w="0" w:type="dxa"/>
            <w:left w:w="108" w:type="dxa"/>
            <w:bottom w:w="0" w:type="dxa"/>
            <w:right w:w="108" w:type="dxa"/>
          </w:tblCellMar>
        </w:tblPrEx>
        <w:trPr>
          <w:trHeight w:val="393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第二十二条，县级以上人民政府及其教育行政部门应当促进学校均衡发展，缩小学校之间办学条件的差距，不得将学校分为重点学校和非重点学校。学校不得分设重点班和非重点班。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按教育行政部门要求确定班级数；根据招生人数确定班额；根据男女比例进行分班；公示分班情况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招生名单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根据招生人数、男女比例科学分班。</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实行收费公示制度，严格执行国家关于义务教育免费的规定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实行收费公示制度，严格执行国家关于义务教育免费的规定</w:t>
            </w:r>
          </w:p>
        </w:tc>
      </w:tr>
      <w:tr>
        <w:tblPrEx>
          <w:tblCellMar>
            <w:top w:w="0" w:type="dxa"/>
            <w:left w:w="108" w:type="dxa"/>
            <w:bottom w:w="0" w:type="dxa"/>
            <w:right w:w="108" w:type="dxa"/>
          </w:tblCellMar>
        </w:tblPrEx>
        <w:trPr>
          <w:trHeight w:val="496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shd w:val="clear" w:color="auto" w:fill="FFFFFF"/>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第二十九条 学校及其他教育机构应当履行下列义务：</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(五)遵照国家有关规定收取费用并公开收费项目。</w:t>
            </w:r>
          </w:p>
          <w:p>
            <w:pPr>
              <w:jc w:val="left"/>
              <w:rPr>
                <w:rFonts w:asciiTheme="majorEastAsia" w:hAnsiTheme="majorEastAsia" w:eastAsiaTheme="majorEastAsia" w:cstheme="majorEastAsia"/>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学校总务处牵头，其他处室配合，学校纪检部门监督。</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公示收费文件和收费标准；收取回执；收费；开具票据。</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上级下发的收费文件和收费标准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明确收费依据、范围、标准；告知家长；及时入账、付款。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电话：66897226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执行国家学籍管理相关规定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执行国家学籍管理相关规定</w:t>
            </w:r>
          </w:p>
        </w:tc>
      </w:tr>
      <w:tr>
        <w:tblPrEx>
          <w:tblCellMar>
            <w:top w:w="0" w:type="dxa"/>
            <w:left w:w="108" w:type="dxa"/>
            <w:bottom w:w="0" w:type="dxa"/>
            <w:right w:w="108" w:type="dxa"/>
          </w:tblCellMar>
        </w:tblPrEx>
        <w:trPr>
          <w:trHeight w:val="462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第二十八条 学校及其他教育机构行使下列权利：</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(四)对受教育者进行学籍管理，实施奖励或者处分。</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审核学生信息；录入学籍系统；上报教育行政部门；按要求进行日常管理。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反映学生信息的证件、证明；学生信息采集表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指导家长填写学生信息；审核学生信息准确性；准确录入信息；按时上报；按规定管理。</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为适龄残疾儿童创设条件，满足其随班就读需求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为适龄残疾儿童创设条件，满足其随班就读需求</w:t>
            </w:r>
          </w:p>
        </w:tc>
      </w:tr>
      <w:tr>
        <w:tblPrEx>
          <w:tblCellMar>
            <w:top w:w="0" w:type="dxa"/>
            <w:left w:w="108" w:type="dxa"/>
            <w:bottom w:w="0" w:type="dxa"/>
            <w:right w:w="108" w:type="dxa"/>
          </w:tblCellMar>
        </w:tblPrEx>
        <w:trPr>
          <w:trHeight w:val="492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第四条，凡具有中华人民共和国国籍的适龄儿童、少年，不分性别、民族、种族、家庭财产状况、宗教信仰等，依法享有平等接受义务教育的权利，并履行接受义务教育的义务。</w:t>
            </w:r>
            <w:r>
              <w:rPr>
                <w:rFonts w:hint="eastAsia" w:asciiTheme="majorEastAsia" w:hAnsiTheme="majorEastAsia" w:eastAsiaTheme="majorEastAsia" w:cstheme="majorEastAsia"/>
                <w:shd w:val="clear" w:color="auto" w:fill="FFFFFF"/>
              </w:rPr>
              <w:t>第十九条普通学校应当接收具有接受普通教育能力的残疾适龄儿童、少年随班就读，并为其学习、康复提供帮助。</w:t>
            </w:r>
            <w:r>
              <w:rPr>
                <w:rFonts w:hint="eastAsia" w:asciiTheme="majorEastAsia" w:hAnsiTheme="majorEastAsia" w:eastAsiaTheme="majorEastAsia" w:cstheme="majorEastAsia"/>
              </w:rPr>
              <w:t xml:space="preserve">   </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审验伤残证明；向教育行政部门上报情况；确定随班就读学生；按相关规定为其在校学习提供便利。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适龄儿童伤残证明或医院诊断证明</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告知家长相关政策；准确查验伤残证明；为随班就读学生建立档案；协调各部门为其学习提供一切便利条件。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427"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 开展爱国主义教育，理想信念教育，社会主义核心价值观教育，中华优秀传统文化教育，生态文明教育和心理健康教育</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360" w:firstLineChars="200"/>
              <w:jc w:val="both"/>
              <w:textAlignment w:val="baseline"/>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1.《中华人民共和国未成年人保护法》（1991年9月4日第七届全国人民代表大会常务委员会第21次会议通过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第四条　国家、社会、学校和家庭对未成年人进行理想教育、道德教育、文化教育、纪律和法制教育，进行爱国主义、集体主义和社会主义的教育，提倡爱祖国、爱人民、爱劳动、爱科学、爱社会主义的公德，反对资本主义的、封建主义的和其他的腐朽思想的侵蚀。</w:t>
            </w:r>
          </w:p>
          <w:p>
            <w:pPr>
              <w:pStyle w:val="4"/>
              <w:widowControl/>
              <w:spacing w:beforeAutospacing="0" w:afterAutospacing="0" w:line="240" w:lineRule="atLeast"/>
              <w:ind w:firstLine="360" w:firstLineChars="200"/>
              <w:jc w:val="both"/>
              <w:rPr>
                <w:rFonts w:asciiTheme="majorEastAsia" w:hAnsiTheme="majorEastAsia" w:eastAsiaTheme="majorEastAsia" w:cstheme="majorEastAsia"/>
                <w:sz w:val="18"/>
                <w:szCs w:val="18"/>
              </w:rPr>
            </w:pPr>
            <w:r>
              <w:rPr>
                <w:rFonts w:hint="eastAsia" w:asciiTheme="majorEastAsia" w:hAnsiTheme="majorEastAsia" w:eastAsiaTheme="majorEastAsia" w:cstheme="majorEastAsia"/>
                <w:sz w:val="18"/>
                <w:szCs w:val="18"/>
              </w:rPr>
              <w:t>2.</w:t>
            </w:r>
            <w:r>
              <w:rPr>
                <w:rFonts w:hint="eastAsia" w:asciiTheme="majorEastAsia" w:hAnsiTheme="majorEastAsia" w:eastAsiaTheme="majorEastAsia" w:cstheme="majorEastAsia"/>
                <w:sz w:val="18"/>
                <w:szCs w:val="18"/>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18"/>
                <w:szCs w:val="18"/>
              </w:rPr>
              <w:t>第六条 国家在受教育者中进行爱国主义、集体主义、社会主义的教育，进行理想、道德、纪律、法制、国防和民族团结的教育。第七条 教育应当继承和弘扬中华民族优秀的历史文化传统，吸收人类文明发展的一切优秀成果。</w:t>
            </w:r>
          </w:p>
          <w:p>
            <w:pPr>
              <w:pStyle w:val="4"/>
              <w:widowControl/>
              <w:spacing w:beforeAutospacing="0" w:afterAutospacing="0"/>
              <w:ind w:firstLine="360" w:firstLineChars="200"/>
              <w:rPr>
                <w:rFonts w:asciiTheme="majorEastAsia" w:hAnsiTheme="majorEastAsia" w:eastAsiaTheme="majorEastAsia" w:cstheme="majorEastAsia"/>
              </w:rPr>
            </w:pPr>
            <w:r>
              <w:rPr>
                <w:rStyle w:val="7"/>
                <w:rFonts w:hint="eastAsia" w:asciiTheme="majorEastAsia" w:hAnsiTheme="majorEastAsia" w:eastAsiaTheme="majorEastAsia" w:cstheme="majorEastAsia"/>
                <w:b w:val="0"/>
                <w:sz w:val="18"/>
                <w:szCs w:val="18"/>
              </w:rPr>
              <w:t>3.《中华人民共和国教师法》</w:t>
            </w:r>
            <w:r>
              <w:rPr>
                <w:rFonts w:hint="eastAsia" w:asciiTheme="majorEastAsia" w:hAnsiTheme="majorEastAsia" w:eastAsiaTheme="majorEastAsia" w:cstheme="majorEastAsia"/>
                <w:sz w:val="18"/>
                <w:szCs w:val="18"/>
              </w:rPr>
              <w:t>(1993年10月31日第八届全国人民代表大会常务委员会第四次会议通过 于1994年1月1日</w:t>
            </w:r>
            <w:r>
              <w:rPr>
                <w:rFonts w:hint="eastAsia" w:asciiTheme="majorEastAsia" w:hAnsiTheme="majorEastAsia" w:eastAsiaTheme="majorEastAsia" w:cstheme="majorEastAsia"/>
                <w:sz w:val="18"/>
                <w:szCs w:val="18"/>
                <w:lang w:eastAsia="zh-CN"/>
              </w:rPr>
              <w:t>起</w:t>
            </w:r>
            <w:r>
              <w:rPr>
                <w:rFonts w:hint="eastAsia" w:asciiTheme="majorEastAsia" w:hAnsiTheme="majorEastAsia" w:eastAsiaTheme="majorEastAsia" w:cstheme="majorEastAsia"/>
                <w:sz w:val="18"/>
                <w:szCs w:val="18"/>
              </w:rPr>
              <w:t>施行 已被《全国人民代表大会常务委员会关于修改部分法律的决定》(发布日期：2009年8月27日 实施日期：2009年8月27日)修正)</w:t>
            </w:r>
            <w:r>
              <w:rPr>
                <w:rFonts w:hint="eastAsia" w:asciiTheme="majorEastAsia" w:hAnsiTheme="majorEastAsia" w:eastAsiaTheme="majorEastAsia" w:cstheme="majorEastAsia"/>
                <w:sz w:val="18"/>
                <w:szCs w:val="18"/>
                <w:shd w:val="clear" w:color="auto" w:fill="FFFFFF"/>
              </w:rPr>
              <w:t>第八条　教师应当履行下列义务：（三）对学生进行宪法所确定的基本原则的教育和爱国主义、民族团结的教育，法制教育以及思想品德、文化、科学技术教育，组织、带领学生开展有益的社会活动。　　</w:t>
            </w:r>
          </w:p>
        </w:tc>
      </w:tr>
      <w:tr>
        <w:tblPrEx>
          <w:tblCellMar>
            <w:top w:w="0" w:type="dxa"/>
            <w:left w:w="108" w:type="dxa"/>
            <w:bottom w:w="0" w:type="dxa"/>
            <w:right w:w="108" w:type="dxa"/>
          </w:tblCellMar>
        </w:tblPrEx>
        <w:trPr>
          <w:trHeight w:val="54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w:t>
            </w:r>
          </w:p>
        </w:tc>
      </w:tr>
      <w:tr>
        <w:tblPrEx>
          <w:tblCellMar>
            <w:top w:w="0" w:type="dxa"/>
            <w:left w:w="108" w:type="dxa"/>
            <w:bottom w:w="0" w:type="dxa"/>
            <w:right w:w="108" w:type="dxa"/>
          </w:tblCellMar>
        </w:tblPrEx>
        <w:trPr>
          <w:trHeight w:val="4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德育处牵头，其他各处室配合</w:t>
            </w:r>
          </w:p>
        </w:tc>
      </w:tr>
      <w:tr>
        <w:tblPrEx>
          <w:tblCellMar>
            <w:top w:w="0" w:type="dxa"/>
            <w:left w:w="108" w:type="dxa"/>
            <w:bottom w:w="0" w:type="dxa"/>
            <w:right w:w="108" w:type="dxa"/>
          </w:tblCellMar>
        </w:tblPrEx>
        <w:trPr>
          <w:trHeight w:val="45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制定计划，组织活动，开展宣传，进行学科渗透</w:t>
            </w:r>
          </w:p>
        </w:tc>
      </w:tr>
      <w:tr>
        <w:tblPrEx>
          <w:tblCellMar>
            <w:top w:w="0" w:type="dxa"/>
            <w:left w:w="108" w:type="dxa"/>
            <w:bottom w:w="0" w:type="dxa"/>
            <w:right w:w="108" w:type="dxa"/>
          </w:tblCellMar>
        </w:tblPrEx>
        <w:trPr>
          <w:trHeight w:val="5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61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jc w:val="lef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开展爱国主义教育，理想信念教育，社会主义核心价值观教育，中华优秀传统文化教育，生态文明教育和心理健康教育</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坚持德育为首，探索课程育人，文化育人，活动育人，实践育人，管理育人，协同育人等多种育人途径</w:t>
            </w:r>
          </w:p>
        </w:tc>
      </w:tr>
      <w:tr>
        <w:tblPrEx>
          <w:tblCellMar>
            <w:top w:w="0" w:type="dxa"/>
            <w:left w:w="108" w:type="dxa"/>
            <w:bottom w:w="0" w:type="dxa"/>
            <w:right w:w="108" w:type="dxa"/>
          </w:tblCellMar>
        </w:tblPrEx>
        <w:trPr>
          <w:trHeight w:val="478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numPr>
                <w:ilvl w:val="0"/>
                <w:numId w:val="1"/>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凡具有中华人民共和国国籍的适龄儿童、少年，不分性别、民族、种族、家庭财产状况、宗教信仰等，依法享有平等接受义务教育的权利，并履行接受义务教育的义务。</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制定计划，组织活动，开展宣传，进行学科渗透</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按照计划方案开展教育活动；指导教师在学科教学中对学生进行教育。</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尊重学生个体差异，因材施教，激发学生学习兴趣，培养学生学习习惯，促进学生全面发展</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尊重学生个体差异，因材施教，激发学生学习兴趣，培养学生学习习惯，促进学生全面发展</w:t>
            </w:r>
          </w:p>
        </w:tc>
      </w:tr>
      <w:tr>
        <w:tblPrEx>
          <w:tblCellMar>
            <w:top w:w="0" w:type="dxa"/>
            <w:left w:w="108" w:type="dxa"/>
            <w:bottom w:w="0" w:type="dxa"/>
            <w:right w:w="108" w:type="dxa"/>
          </w:tblCellMar>
        </w:tblPrEx>
        <w:trPr>
          <w:trHeight w:val="4722"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第二十九条教师在教育教学中应当平等对待学生，关注学生的个体差异，因材施教，促进学生的充分发展。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四条教育教学工作应当符合教育规律和学生身心发展特点，面向全体学生，教书育人，将德育、智育、体育、美育等有机统一在教育教学活动中，注重培养学生独立思考能力、创新能力和实践能力，促进学生全面发展。</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教务处、德育组配合行使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按照计划方案开展教育教学活动；指导、督促教师落实；建立学生成长档案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将心理教育贯穿于教育的全过程，开展心理辅导</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将心理教育贯穿于教育的全过程，开展心理辅导</w:t>
            </w:r>
          </w:p>
        </w:tc>
      </w:tr>
      <w:tr>
        <w:tblPrEx>
          <w:tblCellMar>
            <w:top w:w="0" w:type="dxa"/>
            <w:left w:w="108" w:type="dxa"/>
            <w:bottom w:w="0" w:type="dxa"/>
            <w:right w:w="108" w:type="dxa"/>
          </w:tblCellMar>
        </w:tblPrEx>
        <w:trPr>
          <w:trHeight w:val="4743"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numPr>
                <w:ilvl w:val="0"/>
                <w:numId w:val="2"/>
              </w:numPr>
              <w:tabs>
                <w:tab w:val="clear" w:pos="312"/>
              </w:tabs>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shd w:val="clear" w:color="auto" w:fill="FFFFFF"/>
              </w:rPr>
              <w:t>第十九条　学校应当根据未成年学生身心发展的特点，对他们进行社会生活指导、心理健康辅导和青春期教育。</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2.《中小学心理健康教育指导纲要》</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制定方案，组织活动，进行教师培训，建立学生档案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按照计划方案开展心理健康教育活动；指导、督促教师落实；建立学生心理档案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rPr>
                <w:rFonts w:hint="eastAsia" w:asciiTheme="majorEastAsia" w:hAnsiTheme="majorEastAsia" w:eastAsiaTheme="majorEastAsia" w:cstheme="majorEastAsia"/>
                <w:kern w:val="0"/>
                <w:sz w:val="24"/>
                <w:lang w:eastAsia="zh-CN"/>
              </w:rPr>
            </w:pPr>
          </w:p>
          <w:p>
            <w:pPr>
              <w:widowControl/>
              <w:tabs>
                <w:tab w:val="left" w:pos="577"/>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Cs w:val="21"/>
                <w:u w:val="single"/>
              </w:rPr>
              <w:t>确保学生每天锻炼一小时，开展大课间活动，使每位学生掌握至少两项体育运动技能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确保学生每天锻炼一小时，开展大课间活动，使每位学生掌握至少两项体育运动技能</w:t>
            </w:r>
          </w:p>
        </w:tc>
      </w:tr>
      <w:tr>
        <w:tblPrEx>
          <w:tblCellMar>
            <w:top w:w="0" w:type="dxa"/>
            <w:left w:w="108" w:type="dxa"/>
            <w:bottom w:w="0" w:type="dxa"/>
            <w:right w:w="108" w:type="dxa"/>
          </w:tblCellMar>
        </w:tblPrEx>
        <w:trPr>
          <w:trHeight w:val="501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按照计划方案开展“双间制”活动；指导学生落实艺术体育“2+1”工作；对学生进行考核；建立学生档案档案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定期开展学生体检和体质健康监测，建立学生健康档案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定期开展学生体检和体质健康监测，建立学生健康档案</w:t>
            </w:r>
          </w:p>
        </w:tc>
      </w:tr>
      <w:tr>
        <w:tblPrEx>
          <w:tblCellMar>
            <w:top w:w="0" w:type="dxa"/>
            <w:left w:w="108" w:type="dxa"/>
            <w:bottom w:w="0" w:type="dxa"/>
            <w:right w:w="108" w:type="dxa"/>
          </w:tblCellMar>
        </w:tblPrEx>
        <w:trPr>
          <w:trHeight w:val="524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《国家学生体质健康标准》</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制定方案，组织活动，进行考核，建立学生档案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工作计划、活动方案、学生档案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按照计划方案开展国家学生体质健康标准训练、考核；上报考核信息；建立学生体质健康档案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按照国家要求开足开齐音乐美术课，开设书法课，培养学生艺术爱好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2.7</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按照国家要求开足开齐音乐美术课，开设书法课，培养学生艺术爱好</w:t>
            </w:r>
          </w:p>
        </w:tc>
      </w:tr>
      <w:tr>
        <w:tblPrEx>
          <w:tblCellMar>
            <w:top w:w="0" w:type="dxa"/>
            <w:left w:w="108" w:type="dxa"/>
            <w:bottom w:w="0" w:type="dxa"/>
            <w:right w:w="108" w:type="dxa"/>
          </w:tblCellMar>
        </w:tblPrEx>
        <w:trPr>
          <w:trHeight w:val="519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3"/>
              </w:numPr>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制定学校课程计划；编排课表；配备专业师资；开展教育教学活动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电话：66896298</w:t>
            </w:r>
          </w:p>
          <w:p>
            <w:pPr>
              <w:widowControl/>
              <w:spacing w:line="400" w:lineRule="exac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多渠道多形式开展综合实践活动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2.8</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多渠道多形式开展综合实践活动</w:t>
            </w:r>
          </w:p>
        </w:tc>
      </w:tr>
      <w:tr>
        <w:tblPrEx>
          <w:tblCellMar>
            <w:top w:w="0" w:type="dxa"/>
            <w:left w:w="108" w:type="dxa"/>
            <w:bottom w:w="0" w:type="dxa"/>
            <w:right w:w="108" w:type="dxa"/>
          </w:tblCellMar>
        </w:tblPrEx>
        <w:trPr>
          <w:trHeight w:val="467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第三十六条 学校应当把德育放在首位，寓德育于教育教学之中，开展与学生年龄相适应的社会实践活动，形成学校、家庭、社会相互配合的思想道德教育体系，促进学生养成良好的思想品德和行为习惯。</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制定方案，组织活动，建立学生档案，考核纳入学生综合素质评价</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工作计划、活动方案、考核成绩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按照计划方案开展社会实践活动；指导、督促教师落实；建立考核评价机制</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电话：66897214</w:t>
            </w:r>
          </w:p>
          <w:p>
            <w:pPr>
              <w:widowControl/>
              <w:spacing w:line="400" w:lineRule="exact"/>
              <w:rPr>
                <w:rFonts w:hint="eastAsia" w:asciiTheme="majorEastAsia" w:hAnsiTheme="majorEastAsia" w:eastAsiaTheme="majorEastAsia" w:cstheme="majorEastAsia"/>
                <w:kern w:val="0"/>
                <w:sz w:val="24"/>
                <w:lang w:eastAsia="zh-CN"/>
              </w:rPr>
            </w:pPr>
          </w:p>
          <w:p>
            <w:pPr>
              <w:widowControl/>
              <w:spacing w:line="400" w:lineRule="exact"/>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加强教师思想政治教育和师德建设，严格遵守中小学教师职业道德规范，增强教师立德树人的荣誉感和责任感，做四有好教师</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加强教师思想政治教育和师德建设，严格遵守中小学教师职业道德规范，增强教师立德树人的荣誉感和责任感，做四有好教师</w:t>
            </w:r>
          </w:p>
        </w:tc>
      </w:tr>
      <w:tr>
        <w:tblPrEx>
          <w:tblCellMar>
            <w:top w:w="0" w:type="dxa"/>
            <w:left w:w="108" w:type="dxa"/>
            <w:bottom w:w="0" w:type="dxa"/>
            <w:right w:w="108" w:type="dxa"/>
          </w:tblCellMar>
        </w:tblPrEx>
        <w:trPr>
          <w:trHeight w:val="4824"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numPr>
                <w:ilvl w:val="0"/>
                <w:numId w:val="4"/>
              </w:numPr>
              <w:shd w:val="clear" w:color="auto" w:fill="FFFFFF"/>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教师应当履行下列义务：</w:t>
            </w:r>
          </w:p>
          <w:p>
            <w:pPr>
              <w:pStyle w:val="4"/>
              <w:widowControl/>
              <w:shd w:val="clear" w:color="auto" w:fill="FFFFFF"/>
              <w:spacing w:beforeAutospacing="0" w:afterAutospacing="0" w:line="240" w:lineRule="atLeast"/>
              <w:ind w:left="420" w:left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（一）遵守宪法、法律和职业道德，为人师表。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组织学习教师师德规范，签订师德承诺，开展师德考核，表彰师德先进教师，处理违反师德规范教师。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师德承诺书、师德考核方案、师德问卷调查情况、评选师德先进教师方案、处理违反师德规范教师的决定。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组织签订师德承诺书；进行师德调查；进行师德考核；评选表彰师德先进；处理违规教师。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电话：66896623</w:t>
            </w:r>
          </w:p>
          <w:p>
            <w:pPr>
              <w:widowControl/>
              <w:spacing w:line="400" w:lineRule="exac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实行教师聘任制度，完善考核评价，保证教师待遇</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实行教师聘任制度，完善考核评价，保证教师待遇</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第十七条　学校和其他教育机构应当逐步实行教师聘任制。教师的聘任应当遵循双方地位平等的原则，由学校和教师签订聘任合同，明确规定双方的权利、义务和责任。</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第二十二条　学校或者其他教育机构应当对教师的政治思想、业务水平、工作态度和工作成绩进行考核。</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教育行政部门对教师的考核工作进行指导、监督。</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第二十三条　考核应当客观、公正、准确，充分听取教师本人、其他教师以及学生的意见。</w:t>
            </w:r>
          </w:p>
          <w:p>
            <w:pPr>
              <w:pStyle w:val="4"/>
              <w:widowControl/>
              <w:shd w:val="clear" w:color="auto" w:fill="FFFFFF"/>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　　第二十四条　教师考核结果是受聘任教、晋升工资、实施奖惩的依据。</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审核聘用条件，签订聘用合同，进行年度考核，晋升教师职务，实施奖惩。</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上级人事部门下发的教师聘用、考核、职务晋升、奖惩文件。</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审核教师聘用条件；与符合条件教师签订聘用合同；开展年度考核；按规定晋升教师职务；对优秀教师进行奖励；对违规教师实施惩处。</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电话：66896323</w:t>
            </w:r>
          </w:p>
          <w:p>
            <w:pPr>
              <w:widowControl/>
              <w:spacing w:line="400" w:lineRule="exac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完善培训制度，支持和保障教师进行培训</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3.3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完善培训制度，支持和保障教师进行培训</w:t>
            </w:r>
          </w:p>
        </w:tc>
      </w:tr>
      <w:tr>
        <w:tblPrEx>
          <w:tblCellMar>
            <w:top w:w="0" w:type="dxa"/>
            <w:left w:w="108" w:type="dxa"/>
            <w:bottom w:w="0" w:type="dxa"/>
            <w:right w:w="108" w:type="dxa"/>
          </w:tblCellMar>
        </w:tblPrEx>
        <w:trPr>
          <w:trHeight w:val="485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Style w:val="7"/>
                <w:rFonts w:hint="eastAsia" w:asciiTheme="majorEastAsia" w:hAnsiTheme="majorEastAsia" w:eastAsiaTheme="majorEastAsia" w:cstheme="majorEastAsia"/>
                <w:b w:val="0"/>
              </w:rPr>
              <w:t>《中华人民共和国教师法》</w:t>
            </w:r>
            <w:r>
              <w:rPr>
                <w:rFonts w:hint="eastAsia" w:asciiTheme="majorEastAsia" w:hAnsiTheme="majorEastAsia" w:eastAsiaTheme="majorEastAsia" w:cstheme="majorEastAsia"/>
              </w:rPr>
              <w:t>(1993年10月31日第八届全国人民代表大会常务委员会第四次会议通过 于1994年1月1日</w:t>
            </w:r>
            <w:r>
              <w:rPr>
                <w:rFonts w:hint="eastAsia" w:asciiTheme="majorEastAsia" w:hAnsiTheme="majorEastAsia" w:eastAsiaTheme="majorEastAsia" w:cstheme="majorEastAsia"/>
                <w:lang w:eastAsia="zh-CN"/>
              </w:rPr>
              <w:t>起</w:t>
            </w:r>
            <w:r>
              <w:rPr>
                <w:rFonts w:hint="eastAsia" w:asciiTheme="majorEastAsia" w:hAnsiTheme="majorEastAsia" w:eastAsiaTheme="majorEastAsia" w:cstheme="majorEastAsia"/>
              </w:rPr>
              <w:t>施行 已被《全国人民代表大会常务委员会关于修改部分法律的决定》(发布日期：2009年8月27日 实施日期：2009年8月27日)修正)</w:t>
            </w:r>
          </w:p>
          <w:p>
            <w:pPr>
              <w:pStyle w:val="4"/>
              <w:widowControl/>
              <w:shd w:val="clear" w:color="auto" w:fill="FFFFFF"/>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第十九条 各级人民政府教育行政部门、学校主管部门和学校应当制定教师培训规划，对教师进行多种形式的思想政治、业务培训。</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制定培训规划、方案，组织教师培训，依规组织教师外出培训，进行培训考核。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培训规划、方案，培训考核记录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制定培训方案；组织教师培训；进行考核</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spacing w:line="400" w:lineRule="exac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电话：66897260</w:t>
            </w:r>
          </w:p>
          <w:p>
            <w:pPr>
              <w:widowControl/>
              <w:spacing w:line="400" w:lineRule="exac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落实国家义务课程方案和课程标准，开设地方课程和校本课程，落实综合实践活动课程要求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落实国家义务课程方案和课程标准，开设地方课程和校本课程，落实综合实践活动课程要求</w:t>
            </w:r>
          </w:p>
        </w:tc>
      </w:tr>
      <w:tr>
        <w:tblPrEx>
          <w:tblCellMar>
            <w:top w:w="0" w:type="dxa"/>
            <w:left w:w="108" w:type="dxa"/>
            <w:bottom w:w="0" w:type="dxa"/>
            <w:right w:w="108" w:type="dxa"/>
          </w:tblCellMar>
        </w:tblPrEx>
        <w:trPr>
          <w:trHeight w:val="48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numPr>
                <w:ilvl w:val="0"/>
                <w:numId w:val="5"/>
              </w:numPr>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hd w:val="clear" w:color="auto" w:fill="FFFFFF"/>
              <w:spacing w:beforeAutospacing="0" w:after="180" w:afterAutospacing="0"/>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2.《</w:t>
            </w:r>
            <w:r>
              <w:rPr>
                <w:rFonts w:hint="eastAsia" w:asciiTheme="majorEastAsia" w:hAnsiTheme="majorEastAsia" w:eastAsiaTheme="majorEastAsia" w:cstheme="majorEastAsia"/>
                <w:shd w:val="clear" w:color="auto" w:fill="FFFFFF"/>
              </w:rPr>
              <w:t>2017—2018学年度天津市中小学课程计划安排意见</w:t>
            </w:r>
            <w:r>
              <w:rPr>
                <w:rFonts w:hint="eastAsia" w:asciiTheme="majorEastAsia" w:hAnsiTheme="majorEastAsia" w:eastAsiaTheme="majorEastAsia" w:cstheme="majorEastAsia"/>
              </w:rPr>
              <w:t>》</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制定学校课程计划；编排课表；配备专业师资；研发校本课程</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课程计划、学校人事安排方案、课表、校本教材</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做好人员、课程安排；组织教师培训；配备专业设备；开展教育教学活动；编印校本教材</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严格遵守国家关于教材教辅管理的相关规定</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严格遵守国家关于教材教辅管理的相关规定</w:t>
            </w:r>
          </w:p>
        </w:tc>
      </w:tr>
      <w:tr>
        <w:tblPrEx>
          <w:tblCellMar>
            <w:top w:w="0" w:type="dxa"/>
            <w:left w:w="108" w:type="dxa"/>
            <w:bottom w:w="0" w:type="dxa"/>
            <w:right w:w="108" w:type="dxa"/>
          </w:tblCellMar>
        </w:tblPrEx>
        <w:trPr>
          <w:trHeight w:val="477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第三十九条 国家实行教科书审定制度。教科书的审定办法由国务院教育行政部门规定。未经审定的教科书，不得出版、选用。</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第四十一条 国家鼓励教科书循环使用。</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15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选定教科书，进行征订，下发教科书，组织循环用书使用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教科书征订目录、征订单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各学科教科书选定；进行教科书征订；组织循环用书使用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建立教学常规管理制度和教学质量保障机制</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建立教学常规管理制度和教学质量保障机制</w:t>
            </w:r>
          </w:p>
        </w:tc>
      </w:tr>
      <w:tr>
        <w:tblPrEx>
          <w:tblCellMar>
            <w:top w:w="0" w:type="dxa"/>
            <w:left w:w="108" w:type="dxa"/>
            <w:bottom w:w="0" w:type="dxa"/>
            <w:right w:w="108" w:type="dxa"/>
          </w:tblCellMar>
        </w:tblPrEx>
        <w:trPr>
          <w:trHeight w:val="427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第五条依法实施义务教育的学校应当按照规定标准完成教育教学任务，保证教育教学质量。</w:t>
            </w:r>
          </w:p>
          <w:p>
            <w:pPr>
              <w:widowControl/>
              <w:jc w:val="left"/>
              <w:rPr>
                <w:rFonts w:asciiTheme="majorEastAsia" w:hAnsiTheme="majorEastAsia" w:eastAsiaTheme="majorEastAsia" w:cstheme="majorEastAsia"/>
                <w:kern w:val="0"/>
                <w:sz w:val="24"/>
              </w:rPr>
            </w:pP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105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108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建立健全教学管理制度，定期进行考核，进行教学质量阶段性分析、反馈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教学管理制度、教学工作考核标准</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建立健全管理制度；定期考核；进行阶段性分析、反馈；每学期进行综合评价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采取启发式，讨论式合作式，探究式等教学方式，提高学生课堂学习主动性</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采取启发式，讨论式合作式，探究式等教学方式，提高学生课堂学习主动性</w:t>
            </w:r>
          </w:p>
        </w:tc>
      </w:tr>
      <w:tr>
        <w:tblPrEx>
          <w:tblCellMar>
            <w:top w:w="0" w:type="dxa"/>
            <w:left w:w="108" w:type="dxa"/>
            <w:bottom w:w="0" w:type="dxa"/>
            <w:right w:w="108" w:type="dxa"/>
          </w:tblCellMar>
        </w:tblPrEx>
        <w:trPr>
          <w:trHeight w:val="5007"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《中华人民共和国义务教育法》（1986年4月12日第六届全国人民代表大会第四次会议通过　2006年6月29日第十届全国人民代表大会常务委员会第二十二次会议修订）</w:t>
            </w:r>
          </w:p>
          <w:p>
            <w:pPr>
              <w:pStyle w:val="4"/>
              <w:widowControl/>
              <w:spacing w:beforeAutospacing="0" w:afterAutospacing="0" w:line="240" w:lineRule="atLeast"/>
              <w:ind w:firstLine="480" w:firstLineChars="20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第三十五条 国务院教育行政部门根据适龄儿童、少年身心发展的状况和实际情况，确定教学制度、教育教学内容和课程设置，改革考试制度，并改进高级中等学校招生办法，推进实施素质教育。</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学校和教师按照确定的教育教学内容和课程设置开展教育教学活动，保证达到国家规定的基本质量要求。</w:t>
            </w:r>
          </w:p>
          <w:p>
            <w:pPr>
              <w:pStyle w:val="4"/>
              <w:widowControl/>
              <w:spacing w:beforeAutospacing="0" w:afterAutospacing="0" w:line="240" w:lineRule="atLeast"/>
              <w:ind w:firstLine="450"/>
              <w:jc w:val="both"/>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国家鼓励学校和教师采用启发式教育等教育教学方法，提高教育教学质量。</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制定课堂评价标准，进行课堂教学研究，组织课堂教学实践活动，进行课堂教学管理考核</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课堂教学评价标准、集体教研或集体备课方案、课堂教学活动方案、课堂教学考核方案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制定课堂评价标准；组织课堂教学活动；指导教师课堂教学实践；对课堂教学进行考核评价</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落实减负工作要求</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落实减负工作要求</w:t>
            </w:r>
          </w:p>
        </w:tc>
      </w:tr>
      <w:tr>
        <w:tblPrEx>
          <w:tblCellMar>
            <w:top w:w="0" w:type="dxa"/>
            <w:left w:w="108" w:type="dxa"/>
            <w:bottom w:w="0" w:type="dxa"/>
            <w:right w:w="108" w:type="dxa"/>
          </w:tblCellMar>
        </w:tblPrEx>
        <w:trPr>
          <w:trHeight w:val="5166"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ind w:firstLine="480" w:firstLineChars="200"/>
              <w:jc w:val="left"/>
              <w:rPr>
                <w:rFonts w:asciiTheme="majorEastAsia" w:hAnsiTheme="majorEastAsia" w:eastAsiaTheme="majorEastAsia" w:cstheme="majorEastAsia"/>
                <w:sz w:val="24"/>
              </w:rPr>
            </w:pPr>
            <w:r>
              <w:rPr>
                <w:rFonts w:hint="eastAsia" w:asciiTheme="majorEastAsia" w:hAnsiTheme="majorEastAsia" w:eastAsiaTheme="majorEastAsia" w:cstheme="majorEastAsia"/>
                <w:sz w:val="24"/>
              </w:rPr>
              <w:t>《中华人民共和国未成年人保护法》（1991年9月4日第七届全国人民代表大会常务委员会第21次会议通过 1991年9月4日中华人民共和国主席令第50号公布 2006年12月29日第十届全国人民代表大会常务委员会第25次会议第1次修订通过 2006年12月29日中华人民共和国主席令第60号公布 根据2012年10月26日第十一届全国人民代表大会常务委员会第29次会议通过、2012年10月26日中华人民共和国主席令第65号公布、自2013年1月1日起施行的《全国人民代表大会常务委员会关于修改〈中华人民共和国未成年人保护法〉的决定》第2次修正）</w:t>
            </w:r>
          </w:p>
          <w:p>
            <w:pPr>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rPr>
              <w:t>第二十条　学校应当与未成年学生的父母或者其他监护人互相配合，保证未成年学生的睡眠、娱乐和体育锻炼时间，不得加重其学习负担。</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制定减负工作要求和减负措施，进行减负调查，纠正、处理违规现象。</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上级减负文件、减负工作方案、减负工作问卷调查情况</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制定减负措施；开展减负调查；开展作业和评价改革；纠正违规现象。</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电话：66897259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（职责事项名称）</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4.6</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按照规定配备教学资源和教学设施设备，加强管理，提高使用效益</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1.关于印发《滨海新区教育系统设备采购管理实施办法》的通知（津滨教规发[2014]5号）</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2.《小学教育教学仪器设备管理细则》（津滨教体委后[2015]2号）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按文件规定的流程执行</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上级文件、学校制度</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按文件要求申请调配、自行采购设施设备；制定学校管理制度规范管理；按规定程序进行设备报损。</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建立健全学校安全卫生管理制度和工作机制，保障师生人身安全，食品饮水安全，设施安全和活动安全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24"/>
              </w:tabs>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建立健全学校安全卫生管理制度和工作机制，保障师生人身安全，食品饮水安全，设施安全和活动安全</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建立制度，明确职责，定期检查，及时整改。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学校安全管理制度、安全管理档案、安全承诺书、应急预案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制定学校安全管理制度；层层签订安全承诺书；制定各类事故应急预案；组织安全疏散演练；进行安全技能培训；开展安全知识宣传。</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设置安全警示标志，开展安全教育活动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设置安全警示标志，开展安全教育活动</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1.《关于加强中小学幼儿园安全风险防控体系建设的意见》</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总务处牵头，其他处室配合。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配备、维护设施设备，制定安全制度，明确安全职责，定期考核，追究责任。</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安全管理制度，安全责任书，考评细则。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定期维护，保证安全设施完好齐备；制定安全管理制度；层层签订安全责任书；定期检查考核；依规整改追责。</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重点加强防溺水、交通安全和预防校园欺凌教育，了解掌握一定的安全技能</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重点加强防溺水、交通安全和预防校园欺凌教育，了解掌握一定的安全技能</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《中小学公共安全教育指导纲要》</w:t>
            </w:r>
          </w:p>
          <w:p>
            <w:pPr>
              <w:widowControl/>
              <w:numPr>
                <w:ilvl w:val="0"/>
                <w:numId w:val="6"/>
              </w:numPr>
              <w:tabs>
                <w:tab w:val="clear" w:pos="31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制定安全教育内容，开展教育宣传活动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安全教育实施方案、家长信、宣传材料</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制定安全教育实施方案；组织安全讲座；下发家长信或宣传材料</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定期开展应急演练，提高师生应对突发事件和自救自护能力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5.4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定期开展应急演练，提高师生应对突发事件和自救自护能力</w:t>
            </w:r>
          </w:p>
        </w:tc>
      </w:tr>
      <w:tr>
        <w:tblPrEx>
          <w:tblCellMar>
            <w:top w:w="0" w:type="dxa"/>
            <w:left w:w="108" w:type="dxa"/>
            <w:bottom w:w="0" w:type="dxa"/>
            <w:right w:w="108" w:type="dxa"/>
          </w:tblCellMar>
        </w:tblPrEx>
        <w:trPr>
          <w:trHeight w:val="4199"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1.《中小学幼儿园应急疏散演练指南》</w:t>
            </w:r>
          </w:p>
          <w:p>
            <w:pPr>
              <w:widowControl/>
              <w:ind w:firstLine="480" w:firstLineChars="200"/>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2.关于下发《滨海新区中小学幼儿园体育场馆安全稳定工作考评细则》的通知（津滨教体委安[2017]16号）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707"/>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2692"/>
              </w:tabs>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制定方案，进行培训，组织演练</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学校应急疏散演练方案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制定方案；进行工作布置；组织演练</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电话：66897223</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制定学校章程和学校发展规划，建立健全各项制度</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6.1</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制定学校章程和学校发展规划，建立健全各项制度</w:t>
            </w:r>
          </w:p>
        </w:tc>
      </w:tr>
      <w:tr>
        <w:tblPrEx>
          <w:tblCellMar>
            <w:top w:w="0" w:type="dxa"/>
            <w:left w:w="108" w:type="dxa"/>
            <w:bottom w:w="0" w:type="dxa"/>
            <w:right w:w="108" w:type="dxa"/>
          </w:tblCellMar>
        </w:tblPrEx>
        <w:trPr>
          <w:trHeight w:val="434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ind w:firstLine="480"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第二十六条 设立学校及其他教育机构，必须具备下列基本条件：</w:t>
            </w:r>
          </w:p>
          <w:p>
            <w:pPr>
              <w:pStyle w:val="4"/>
              <w:widowControl/>
              <w:spacing w:beforeAutospacing="0" w:afterAutospacing="0" w:line="240" w:lineRule="atLeast"/>
              <w:ind w:firstLine="480" w:firstLineChars="200"/>
              <w:jc w:val="both"/>
              <w:rPr>
                <w:rFonts w:asciiTheme="majorEastAsia" w:hAnsiTheme="majorEastAsia" w:eastAsiaTheme="majorEastAsia" w:cstheme="majorEastAsia"/>
              </w:rPr>
            </w:pPr>
            <w:r>
              <w:rPr>
                <w:rFonts w:hint="eastAsia" w:asciiTheme="majorEastAsia" w:hAnsiTheme="majorEastAsia" w:eastAsiaTheme="majorEastAsia" w:cstheme="majorEastAsia"/>
              </w:rPr>
              <w:t>(一)有组织机构和章程。</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办公室牵头，其他各部门配合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成立机构，拟定草案，</w:t>
            </w:r>
            <w:r>
              <w:rPr>
                <w:rFonts w:hint="eastAsia" w:asciiTheme="majorEastAsia" w:hAnsiTheme="majorEastAsia" w:eastAsiaTheme="majorEastAsia" w:cstheme="majorEastAsia"/>
                <w:kern w:val="0"/>
                <w:sz w:val="24"/>
                <w:lang w:eastAsia="zh-CN"/>
              </w:rPr>
              <w:t>征</w:t>
            </w:r>
            <w:r>
              <w:rPr>
                <w:rFonts w:hint="eastAsia" w:asciiTheme="majorEastAsia" w:hAnsiTheme="majorEastAsia" w:eastAsiaTheme="majorEastAsia" w:cstheme="majorEastAsia"/>
                <w:kern w:val="0"/>
                <w:sz w:val="24"/>
              </w:rPr>
              <w:t>取教职工意见，教代会审议，报上级部门备案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上级相关文件、工作方案、教代会记录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ind w:firstLine="480" w:firstLineChars="200"/>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制定草案；征求意见；修订方案；上报备案</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电话：66897616</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加强学校党组织建设，突出政治功能，把学校党组织建设成领导改革发展的坚强战斗堡垒</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6.2</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加强学校党组织建设，突出政治功能，把学校党组织建设成领导改革发展的坚强战斗堡垒</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《滨海新区教体委关于加强中小学校党的建设工作的意见》（滨教体党发[2017]24号）</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党支部独立行使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制定工作计划、方案，开展思想政治工作，组织开展党内活动，开展党内评比表彰</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上级文件、活动方案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加强基层党组织建设、领导干部队伍建设、党员队伍建设、共青团和少先队建设</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电话：66896036</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hint="eastAsia"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坚持民主集中制，健全学校教职工大会制度，发挥其参与学校管理的作用</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6.3</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坚持民主集中制，健全学校教职工大会制度，发挥其参与学校管理的作用</w:t>
            </w:r>
          </w:p>
        </w:tc>
      </w:tr>
      <w:tr>
        <w:tblPrEx>
          <w:tblCellMar>
            <w:top w:w="0" w:type="dxa"/>
            <w:left w:w="108" w:type="dxa"/>
            <w:bottom w:w="0" w:type="dxa"/>
            <w:right w:w="108" w:type="dxa"/>
          </w:tblCellMar>
        </w:tblPrEx>
        <w:trPr>
          <w:trHeight w:val="985"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sz w:val="24"/>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sz w:val="24"/>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工会独立行使</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建立教代会制度，选举教代会代表，组织召开教职工代表大会</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教代会制度、教代会记录</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建立制度；组织换届选举；组织召开日常会议</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电话：66897229</w:t>
            </w:r>
          </w:p>
          <w:p>
            <w:pPr>
              <w:widowControl/>
              <w:jc w:val="left"/>
              <w:rPr>
                <w:rFonts w:hint="eastAsia" w:asciiTheme="majorEastAsia" w:hAnsiTheme="majorEastAsia" w:eastAsiaTheme="majorEastAsia" w:cstheme="majorEastAsia"/>
                <w:kern w:val="0"/>
                <w:sz w:val="24"/>
                <w:lang w:eastAsia="zh-CN"/>
              </w:rPr>
            </w:pPr>
          </w:p>
          <w:p>
            <w:pPr>
              <w:widowControl/>
              <w:tabs>
                <w:tab w:val="left" w:pos="952"/>
              </w:tabs>
              <w:jc w:val="left"/>
              <w:rPr>
                <w:rFonts w:asciiTheme="majorEastAsia" w:hAnsiTheme="majorEastAsia" w:eastAsiaTheme="majorEastAsia" w:cstheme="majorEastAsia"/>
                <w:kern w:val="0"/>
                <w:sz w:val="24"/>
                <w:highlight w:val="yellow"/>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多渠道公开学校，校务信息，保证教职工、学生、社会公众知情权</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6.4</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tabs>
                <w:tab w:val="left" w:pos="1449"/>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多渠道公开学校，校务信息，保证教职工、学生、社会公众知情权</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w:t>
            </w: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第三十条学校及其他教育机构应当按照国家有关规定，通过以教师为主体的教职工代表大会等组织形式，保障教职工参与民主管理和监督。</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办公室</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办公室牵头，其他处室配合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公开学校信息，受理、分派群众来访，反馈学校意见</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群众来电来信来访内容</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公开学校信息；对来电来信来访进行分派；对群众进行答复</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电话：25829674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来信来访地址：天津市滨海新区塘沽福建北路1889号</w:t>
            </w:r>
          </w:p>
        </w:tc>
      </w:tr>
      <w:tr>
        <w:tblPrEx>
          <w:tblCellMar>
            <w:top w:w="0" w:type="dxa"/>
            <w:left w:w="108" w:type="dxa"/>
            <w:bottom w:w="0" w:type="dxa"/>
            <w:right w:w="108" w:type="dxa"/>
          </w:tblCellMar>
        </w:tblPrEx>
        <w:trPr>
          <w:trHeight w:val="839" w:hRule="atLeast"/>
        </w:trPr>
        <w:tc>
          <w:tcPr>
            <w:tcW w:w="8918" w:type="dxa"/>
            <w:gridSpan w:val="2"/>
            <w:vAlign w:val="center"/>
          </w:tcPr>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p>
          <w:p>
            <w:pPr>
              <w:widowControl/>
              <w:jc w:val="center"/>
              <w:rPr>
                <w:rFonts w:asciiTheme="majorEastAsia" w:hAnsiTheme="majorEastAsia" w:eastAsiaTheme="majorEastAsia" w:cstheme="majorEastAsia"/>
                <w:kern w:val="0"/>
                <w:sz w:val="24"/>
                <w:u w:val="single"/>
              </w:rPr>
            </w:pPr>
            <w:r>
              <w:rPr>
                <w:rFonts w:hint="eastAsia" w:asciiTheme="majorEastAsia" w:hAnsiTheme="majorEastAsia" w:eastAsiaTheme="majorEastAsia" w:cstheme="majorEastAsia"/>
                <w:kern w:val="0"/>
                <w:sz w:val="24"/>
                <w:u w:val="single"/>
              </w:rPr>
              <w:t>健全家委会制度，建立家长学校，提高家长在学校治理中的参与度，形成育人合力</w:t>
            </w:r>
            <w:r>
              <w:rPr>
                <w:rFonts w:hint="eastAsia" w:asciiTheme="majorEastAsia" w:hAnsiTheme="majorEastAsia" w:eastAsiaTheme="majorEastAsia" w:cstheme="majorEastAsia"/>
                <w:kern w:val="0"/>
                <w:sz w:val="24"/>
              </w:rPr>
              <w:t>信息表</w:t>
            </w:r>
          </w:p>
        </w:tc>
      </w:tr>
      <w:tr>
        <w:tblPrEx>
          <w:tblCellMar>
            <w:top w:w="0" w:type="dxa"/>
            <w:left w:w="108" w:type="dxa"/>
            <w:bottom w:w="0" w:type="dxa"/>
            <w:right w:w="108" w:type="dxa"/>
          </w:tblCellMar>
        </w:tblPrEx>
        <w:trPr>
          <w:trHeight w:val="720" w:hRule="atLeast"/>
        </w:trPr>
        <w:tc>
          <w:tcPr>
            <w:tcW w:w="2283" w:type="dxa"/>
            <w:tcBorders>
              <w:top w:val="single" w:color="auto" w:sz="4"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序号</w:t>
            </w:r>
          </w:p>
        </w:tc>
        <w:tc>
          <w:tcPr>
            <w:tcW w:w="6635" w:type="dxa"/>
            <w:tcBorders>
              <w:top w:val="single" w:color="auto" w:sz="4" w:space="0"/>
              <w:left w:val="single" w:color="auto" w:sz="6" w:space="0"/>
              <w:bottom w:val="single" w:color="auto" w:sz="6" w:space="0"/>
              <w:right w:val="single" w:color="auto" w:sz="4" w:space="0"/>
            </w:tcBorders>
            <w:vAlign w:val="center"/>
          </w:tcPr>
          <w:p>
            <w:pPr>
              <w:widowControl/>
              <w:tabs>
                <w:tab w:val="left" w:pos="1732"/>
              </w:tabs>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w:t>
            </w:r>
            <w:r>
              <w:rPr>
                <w:rFonts w:hint="eastAsia" w:asciiTheme="majorEastAsia" w:hAnsiTheme="majorEastAsia" w:eastAsiaTheme="majorEastAsia" w:cstheme="majorEastAsia"/>
                <w:kern w:val="0"/>
                <w:sz w:val="24"/>
              </w:rPr>
              <w:tab/>
            </w:r>
            <w:r>
              <w:rPr>
                <w:rFonts w:hint="eastAsia" w:asciiTheme="majorEastAsia" w:hAnsiTheme="majorEastAsia" w:eastAsiaTheme="majorEastAsia" w:cstheme="majorEastAsia"/>
                <w:kern w:val="0"/>
                <w:sz w:val="24"/>
              </w:rPr>
              <w:t>6.5</w:t>
            </w:r>
          </w:p>
        </w:tc>
      </w:tr>
      <w:tr>
        <w:tblPrEx>
          <w:tblCellMar>
            <w:top w:w="0" w:type="dxa"/>
            <w:left w:w="108" w:type="dxa"/>
            <w:bottom w:w="0" w:type="dxa"/>
            <w:right w:w="108" w:type="dxa"/>
          </w:tblCellMar>
        </w:tblPrEx>
        <w:trPr>
          <w:trHeight w:val="72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名称</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健全家委会制度，建立家长学校，提高家长在学校治理中的参与度，形成育人合力。</w:t>
            </w:r>
          </w:p>
        </w:tc>
      </w:tr>
      <w:tr>
        <w:tblPrEx>
          <w:tblCellMar>
            <w:top w:w="0" w:type="dxa"/>
            <w:left w:w="108" w:type="dxa"/>
            <w:bottom w:w="0" w:type="dxa"/>
            <w:right w:w="108" w:type="dxa"/>
          </w:tblCellMar>
        </w:tblPrEx>
        <w:trPr>
          <w:trHeight w:val="196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法定依据</w:t>
            </w:r>
          </w:p>
        </w:tc>
        <w:tc>
          <w:tcPr>
            <w:tcW w:w="6635" w:type="dxa"/>
            <w:tcBorders>
              <w:top w:val="single" w:color="auto" w:sz="6" w:space="0"/>
              <w:left w:val="single" w:color="auto" w:sz="6" w:space="0"/>
              <w:bottom w:val="single" w:color="auto" w:sz="6" w:space="0"/>
              <w:right w:val="single" w:color="auto" w:sz="4" w:space="0"/>
            </w:tcBorders>
            <w:vAlign w:val="center"/>
          </w:tcPr>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shd w:val="clear" w:color="auto" w:fill="FFFFFF"/>
              </w:rPr>
              <w:t>《中华人民共和国教育法》(1995年3月18日第八届全国人民代表大会第三次会议通过根据2009年8月27日第十一届全国人民代表大会常务委员会第十次会议《关于修改部分法律的决定》第一次修正根据2015年12月27日第十二届全国人民代表大会常务委员会第十八次会议《关于修改〈中华人民共和国教育法〉的决定》第二次修正)</w:t>
            </w:r>
            <w:r>
              <w:rPr>
                <w:rFonts w:hint="eastAsia" w:asciiTheme="majorEastAsia" w:hAnsiTheme="majorEastAsia" w:eastAsiaTheme="majorEastAsia" w:cstheme="majorEastAsia"/>
              </w:rPr>
              <w:t>　第四十九条未成年人的父母或者其他监护人应当配合学校及其他教育机构，对其未成年子女或者其他被监护人进行教育。学校、教师可以对学生家长提供家庭教育指导。　　</w:t>
            </w:r>
          </w:p>
          <w:p>
            <w:pPr>
              <w:pStyle w:val="4"/>
              <w:widowControl/>
              <w:spacing w:beforeAutospacing="0" w:afterAutospacing="0" w:line="240" w:lineRule="atLeast"/>
              <w:jc w:val="both"/>
              <w:rPr>
                <w:rFonts w:asciiTheme="majorEastAsia" w:hAnsiTheme="majorEastAsia" w:eastAsiaTheme="majorEastAsia" w:cstheme="majorEastAsia"/>
              </w:rPr>
            </w:pPr>
            <w:r>
              <w:rPr>
                <w:rFonts w:hint="eastAsia" w:asciiTheme="majorEastAsia" w:hAnsiTheme="majorEastAsia" w:eastAsiaTheme="majorEastAsia" w:cstheme="majorEastAsia"/>
              </w:rPr>
              <w:t>　　第五十一条学校及其他教育机构应当同基层群众性自治组织、企业事业组织、社会团体相互配合，加强对未成年人的校外教育工作。</w:t>
            </w:r>
          </w:p>
        </w:tc>
      </w:tr>
      <w:tr>
        <w:tblPrEx>
          <w:tblCellMar>
            <w:top w:w="0" w:type="dxa"/>
            <w:left w:w="108" w:type="dxa"/>
            <w:bottom w:w="0" w:type="dxa"/>
            <w:right w:w="108" w:type="dxa"/>
          </w:tblCellMar>
        </w:tblPrEx>
        <w:trPr>
          <w:trHeight w:val="1131"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实施机构</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w:t>
            </w:r>
          </w:p>
        </w:tc>
      </w:tr>
      <w:tr>
        <w:tblPrEx>
          <w:tblCellMar>
            <w:top w:w="0" w:type="dxa"/>
            <w:left w:w="108" w:type="dxa"/>
            <w:bottom w:w="0" w:type="dxa"/>
            <w:right w:w="108" w:type="dxa"/>
          </w:tblCellMar>
        </w:tblPrEx>
        <w:trPr>
          <w:trHeight w:val="84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职责边界</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德育处牵头，其他处室配合</w:t>
            </w:r>
          </w:p>
        </w:tc>
      </w:tr>
      <w:tr>
        <w:tblPrEx>
          <w:tblCellMar>
            <w:top w:w="0" w:type="dxa"/>
            <w:left w:w="108" w:type="dxa"/>
            <w:bottom w:w="0" w:type="dxa"/>
            <w:right w:w="108" w:type="dxa"/>
          </w:tblCellMar>
        </w:tblPrEx>
        <w:trPr>
          <w:trHeight w:val="810"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运行流程</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建立健全家委会制度，选举产生家委会，组织家委会会议，开展家长学校教育活动</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运行要件</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家委会制度、换届选举方案</w:t>
            </w:r>
          </w:p>
        </w:tc>
      </w:tr>
      <w:tr>
        <w:tblPrEx>
          <w:tblCellMar>
            <w:top w:w="0" w:type="dxa"/>
            <w:left w:w="108" w:type="dxa"/>
            <w:bottom w:w="0" w:type="dxa"/>
            <w:right w:w="108" w:type="dxa"/>
          </w:tblCellMar>
        </w:tblPrEx>
        <w:trPr>
          <w:trHeight w:val="1128" w:hRule="atLeast"/>
        </w:trPr>
        <w:tc>
          <w:tcPr>
            <w:tcW w:w="2283" w:type="dxa"/>
            <w:tcBorders>
              <w:top w:val="single" w:color="auto" w:sz="6" w:space="0"/>
              <w:left w:val="single" w:color="auto" w:sz="4" w:space="0"/>
              <w:bottom w:val="single" w:color="auto" w:sz="6"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责任事项</w:t>
            </w:r>
          </w:p>
        </w:tc>
        <w:tc>
          <w:tcPr>
            <w:tcW w:w="6635" w:type="dxa"/>
            <w:tcBorders>
              <w:top w:val="single" w:color="auto" w:sz="6" w:space="0"/>
              <w:left w:val="single" w:color="auto" w:sz="6" w:space="0"/>
              <w:bottom w:val="single" w:color="auto" w:sz="6" w:space="0"/>
              <w:right w:val="single" w:color="auto" w:sz="4" w:space="0"/>
            </w:tcBorders>
            <w:vAlign w:val="center"/>
          </w:tcPr>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建立健全制度；进行家委会换届选举；组织家委会活动；组织开展家长学校活动</w:t>
            </w:r>
          </w:p>
        </w:tc>
      </w:tr>
      <w:tr>
        <w:tblPrEx>
          <w:tblCellMar>
            <w:top w:w="0" w:type="dxa"/>
            <w:left w:w="108" w:type="dxa"/>
            <w:bottom w:w="0" w:type="dxa"/>
            <w:right w:w="108" w:type="dxa"/>
          </w:tblCellMar>
        </w:tblPrEx>
        <w:trPr>
          <w:trHeight w:val="1024" w:hRule="atLeast"/>
        </w:trPr>
        <w:tc>
          <w:tcPr>
            <w:tcW w:w="2283" w:type="dxa"/>
            <w:tcBorders>
              <w:top w:val="single" w:color="auto" w:sz="6" w:space="0"/>
              <w:left w:val="single" w:color="auto" w:sz="4" w:space="0"/>
              <w:bottom w:val="single" w:color="auto" w:sz="4" w:space="0"/>
              <w:right w:val="single" w:color="auto" w:sz="6" w:space="0"/>
            </w:tcBorders>
            <w:vAlign w:val="center"/>
          </w:tcPr>
          <w:p>
            <w:pPr>
              <w:widowControl/>
              <w:jc w:val="center"/>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监督方式</w:t>
            </w:r>
          </w:p>
        </w:tc>
        <w:tc>
          <w:tcPr>
            <w:tcW w:w="6635"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 xml:space="preserve">电话：25829674  </w:t>
            </w:r>
          </w:p>
          <w:p>
            <w:pPr>
              <w:widowControl/>
              <w:jc w:val="left"/>
              <w:rPr>
                <w:rFonts w:hint="eastAsia" w:asciiTheme="majorEastAsia" w:hAnsiTheme="majorEastAsia" w:eastAsiaTheme="majorEastAsia" w:cstheme="majorEastAsia"/>
                <w:kern w:val="0"/>
                <w:sz w:val="24"/>
                <w:lang w:eastAsia="zh-CN"/>
              </w:rPr>
            </w:pPr>
          </w:p>
          <w:p>
            <w:pPr>
              <w:widowControl/>
              <w:jc w:val="left"/>
              <w:rPr>
                <w:rFonts w:asciiTheme="majorEastAsia" w:hAnsiTheme="majorEastAsia" w:eastAsiaTheme="majorEastAsia" w:cstheme="majorEastAsia"/>
                <w:kern w:val="0"/>
                <w:sz w:val="24"/>
              </w:rPr>
            </w:pPr>
            <w:r>
              <w:rPr>
                <w:rFonts w:hint="eastAsia" w:asciiTheme="majorEastAsia" w:hAnsiTheme="majorEastAsia" w:eastAsiaTheme="majorEastAsia" w:cstheme="majorEastAsia"/>
                <w:kern w:val="0"/>
                <w:sz w:val="24"/>
              </w:rPr>
              <w:t>来信来访地址：天津市滨海新区塘沽福建北路1889号</w:t>
            </w:r>
          </w:p>
        </w:tc>
      </w:tr>
    </w:tbl>
    <w:p>
      <w:pPr>
        <w:tabs>
          <w:tab w:val="left" w:pos="673"/>
        </w:tabs>
      </w:pPr>
    </w:p>
    <w:p>
      <w:pPr>
        <w:tabs>
          <w:tab w:val="left" w:pos="673"/>
        </w:tabs>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黑体简体">
    <w:altName w:val="黑体"/>
    <w:panose1 w:val="00000000000000000000"/>
    <w:charset w:val="86"/>
    <w:family w:val="script"/>
    <w:pitch w:val="default"/>
    <w:sig w:usb0="00000000" w:usb1="00000000" w:usb2="00000010" w:usb3="00000000" w:csb0="00040000" w:csb1="00000000"/>
  </w:font>
  <w:font w:name="方正楷体简体">
    <w:altName w:val="黑体"/>
    <w:panose1 w:val="00000000000000000000"/>
    <w:charset w:val="86"/>
    <w:family w:val="script"/>
    <w:pitch w:val="default"/>
    <w:sig w:usb0="00000000" w:usb1="00000000" w:usb2="0000001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rPr>
                    <w:rFonts w:eastAsia="宋体"/>
                  </w:rPr>
                </w:pPr>
                <w:r>
                  <w:fldChar w:fldCharType="begin"/>
                </w:r>
                <w:r>
                  <w:instrText xml:space="preserve"> PAGE  \* MERGEFORMAT </w:instrText>
                </w:r>
                <w:r>
                  <w:fldChar w:fldCharType="separate"/>
                </w:r>
                <w:r>
                  <w:t>33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38881D"/>
    <w:multiLevelType w:val="singleLevel"/>
    <w:tmpl w:val="5A38881D"/>
    <w:lvl w:ilvl="0" w:tentative="0">
      <w:start w:val="4"/>
      <w:numFmt w:val="chineseCounting"/>
      <w:suff w:val="nothing"/>
      <w:lvlText w:val="第%1条，"/>
      <w:lvlJc w:val="left"/>
    </w:lvl>
  </w:abstractNum>
  <w:abstractNum w:abstractNumId="1">
    <w:nsid w:val="5A38891A"/>
    <w:multiLevelType w:val="singleLevel"/>
    <w:tmpl w:val="5A38891A"/>
    <w:lvl w:ilvl="0" w:tentative="0">
      <w:start w:val="1"/>
      <w:numFmt w:val="decimal"/>
      <w:lvlText w:val="%1."/>
      <w:lvlJc w:val="left"/>
      <w:pPr>
        <w:tabs>
          <w:tab w:val="left" w:pos="312"/>
        </w:tabs>
      </w:pPr>
    </w:lvl>
  </w:abstractNum>
  <w:abstractNum w:abstractNumId="2">
    <w:nsid w:val="5A388B38"/>
    <w:multiLevelType w:val="singleLevel"/>
    <w:tmpl w:val="5A388B38"/>
    <w:lvl w:ilvl="0" w:tentative="0">
      <w:start w:val="1"/>
      <w:numFmt w:val="decimal"/>
      <w:lvlText w:val="%1."/>
      <w:lvlJc w:val="left"/>
      <w:pPr>
        <w:tabs>
          <w:tab w:val="left" w:pos="312"/>
        </w:tabs>
      </w:pPr>
    </w:lvl>
  </w:abstractNum>
  <w:abstractNum w:abstractNumId="3">
    <w:nsid w:val="5A388BBB"/>
    <w:multiLevelType w:val="singleLevel"/>
    <w:tmpl w:val="5A388BBB"/>
    <w:lvl w:ilvl="0" w:tentative="0">
      <w:start w:val="8"/>
      <w:numFmt w:val="chineseCounting"/>
      <w:suff w:val="nothing"/>
      <w:lvlText w:val="第%1条　"/>
      <w:lvlJc w:val="left"/>
    </w:lvl>
  </w:abstractNum>
  <w:abstractNum w:abstractNumId="4">
    <w:nsid w:val="5A388C8A"/>
    <w:multiLevelType w:val="singleLevel"/>
    <w:tmpl w:val="5A388C8A"/>
    <w:lvl w:ilvl="0" w:tentative="0">
      <w:start w:val="1"/>
      <w:numFmt w:val="decimal"/>
      <w:lvlText w:val="%1."/>
      <w:lvlJc w:val="left"/>
      <w:pPr>
        <w:tabs>
          <w:tab w:val="left" w:pos="312"/>
        </w:tabs>
      </w:pPr>
    </w:lvl>
  </w:abstractNum>
  <w:abstractNum w:abstractNumId="5">
    <w:nsid w:val="5A38A1D6"/>
    <w:multiLevelType w:val="singleLevel"/>
    <w:tmpl w:val="5A38A1D6"/>
    <w:lvl w:ilvl="0" w:tentative="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JmNTAxYTA0NTllZTU0OWY5NWY0MWNlMzBjNGU2OTYifQ=="/>
  </w:docVars>
  <w:rsids>
    <w:rsidRoot w:val="00587923"/>
    <w:rsid w:val="00057EAA"/>
    <w:rsid w:val="00084604"/>
    <w:rsid w:val="000B6DA5"/>
    <w:rsid w:val="0010151F"/>
    <w:rsid w:val="001117AC"/>
    <w:rsid w:val="001B0FC3"/>
    <w:rsid w:val="001D1D48"/>
    <w:rsid w:val="002A218D"/>
    <w:rsid w:val="00312626"/>
    <w:rsid w:val="00337740"/>
    <w:rsid w:val="00355820"/>
    <w:rsid w:val="0036421B"/>
    <w:rsid w:val="003947BA"/>
    <w:rsid w:val="00402023"/>
    <w:rsid w:val="00436F60"/>
    <w:rsid w:val="00460F33"/>
    <w:rsid w:val="004A52B9"/>
    <w:rsid w:val="004A6EEE"/>
    <w:rsid w:val="00587923"/>
    <w:rsid w:val="006436C1"/>
    <w:rsid w:val="006453AD"/>
    <w:rsid w:val="0068525F"/>
    <w:rsid w:val="006D4D8D"/>
    <w:rsid w:val="00737A45"/>
    <w:rsid w:val="00765032"/>
    <w:rsid w:val="00773E10"/>
    <w:rsid w:val="00787D23"/>
    <w:rsid w:val="007D7C77"/>
    <w:rsid w:val="007F18BC"/>
    <w:rsid w:val="007F7D97"/>
    <w:rsid w:val="00833EBD"/>
    <w:rsid w:val="008435EE"/>
    <w:rsid w:val="00887E0C"/>
    <w:rsid w:val="008E31E7"/>
    <w:rsid w:val="009932E4"/>
    <w:rsid w:val="00997E10"/>
    <w:rsid w:val="009E1070"/>
    <w:rsid w:val="009E45F0"/>
    <w:rsid w:val="00A52A74"/>
    <w:rsid w:val="00AC7220"/>
    <w:rsid w:val="00B7530E"/>
    <w:rsid w:val="00BA770F"/>
    <w:rsid w:val="00CE5E1C"/>
    <w:rsid w:val="00D17AA0"/>
    <w:rsid w:val="00DE7777"/>
    <w:rsid w:val="00E57D6B"/>
    <w:rsid w:val="00E617CD"/>
    <w:rsid w:val="00E722A2"/>
    <w:rsid w:val="00F4411A"/>
    <w:rsid w:val="00FA1DDA"/>
    <w:rsid w:val="00FC5C8D"/>
    <w:rsid w:val="00FD498F"/>
    <w:rsid w:val="00FF2618"/>
    <w:rsid w:val="02990E12"/>
    <w:rsid w:val="05223E19"/>
    <w:rsid w:val="0B8401C9"/>
    <w:rsid w:val="0BA6233B"/>
    <w:rsid w:val="16B72ECD"/>
    <w:rsid w:val="16CA74CA"/>
    <w:rsid w:val="17E012CE"/>
    <w:rsid w:val="1AE11E43"/>
    <w:rsid w:val="1C0950DB"/>
    <w:rsid w:val="21E073D9"/>
    <w:rsid w:val="21F24A3C"/>
    <w:rsid w:val="283D6657"/>
    <w:rsid w:val="2BCD06D1"/>
    <w:rsid w:val="2E30558D"/>
    <w:rsid w:val="2E45719A"/>
    <w:rsid w:val="369960FB"/>
    <w:rsid w:val="44533D3E"/>
    <w:rsid w:val="5B473AD6"/>
    <w:rsid w:val="5F942540"/>
    <w:rsid w:val="62FE4955"/>
    <w:rsid w:val="649454E3"/>
    <w:rsid w:val="7B9D15F1"/>
    <w:rsid w:val="7F1B3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Autospacing="1" w:afterAutospacing="1"/>
      <w:jc w:val="left"/>
    </w:pPr>
    <w:rPr>
      <w:kern w:val="0"/>
      <w:sz w:val="24"/>
    </w:rPr>
  </w:style>
  <w:style w:type="character" w:styleId="7">
    <w:name w:val="Strong"/>
    <w:basedOn w:val="6"/>
    <w:qFormat/>
    <w:uiPriority w:val="22"/>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33</Pages>
  <Words>13964</Words>
  <Characters>15438</Characters>
  <Lines>124</Lines>
  <Paragraphs>35</Paragraphs>
  <TotalTime>183</TotalTime>
  <ScaleCrop>false</ScaleCrop>
  <LinksUpToDate>false</LinksUpToDate>
  <CharactersWithSpaces>16267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2017-12-06T01:58:00Z</dcterms:created>
  <dc:creator>微软用户</dc:creator>
  <cp:lastModifiedBy>小风筝_薇</cp:lastModifiedBy>
  <dcterms:modified xsi:type="dcterms:W3CDTF">2024-06-26T02:15:44Z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E6DAB375EADF4AAEA0768CE49134AC46_12</vt:lpwstr>
  </property>
</Properties>
</file>