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天津市实验中学滨海学校职责目录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天津市实验中学滨海学校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天津市实验中学滨海学校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来信来访地址：天津市滨海新区黄港欣荣道80号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来信来访地址：天津市滨海新区黄港欣荣道80号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D6870"/>
    <w:rsid w:val="000E1F62"/>
    <w:rsid w:val="001964D4"/>
    <w:rsid w:val="001B6416"/>
    <w:rsid w:val="00223D2E"/>
    <w:rsid w:val="00233C09"/>
    <w:rsid w:val="00254B23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B473F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8932EA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EA4C3A"/>
    <w:rsid w:val="00F03D69"/>
    <w:rsid w:val="00F27F4D"/>
    <w:rsid w:val="00F34CDB"/>
    <w:rsid w:val="00F45276"/>
    <w:rsid w:val="00F67833"/>
    <w:rsid w:val="00F7102F"/>
    <w:rsid w:val="00FB22FA"/>
    <w:rsid w:val="00FB36E2"/>
    <w:rsid w:val="00FC2C4B"/>
    <w:rsid w:val="0F357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4EA5-C027-4432-B862-071033F7D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4951</Words>
  <Characters>5579</Characters>
  <Lines>46</Lines>
  <Paragraphs>13</Paragraphs>
  <TotalTime>238</TotalTime>
  <ScaleCrop>false</ScaleCrop>
  <LinksUpToDate>false</LinksUpToDate>
  <CharactersWithSpaces>5591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2024-06-25T02:20:31Z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84240E4816234634AA3237BE8FCE5C62_12</vt:lpwstr>
  </property>
</Properties>
</file>