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32A79">
      <w:pPr>
        <w:spacing w:line="274" w:lineRule="auto"/>
        <w:rPr>
          <w:rFonts w:ascii="Arial"/>
          <w:sz w:val="21"/>
        </w:rPr>
      </w:pPr>
    </w:p>
    <w:p w14:paraId="75401583">
      <w:pPr>
        <w:spacing w:line="274" w:lineRule="auto"/>
        <w:rPr>
          <w:rFonts w:ascii="Arial"/>
          <w:sz w:val="21"/>
        </w:rPr>
      </w:pPr>
    </w:p>
    <w:p w14:paraId="5E6210ED">
      <w:pPr>
        <w:keepNext w:val="0"/>
        <w:keepLines w:val="0"/>
        <w:pageBreakBefore w:val="0"/>
        <w:widowControl w:val="0"/>
        <w:kinsoku/>
        <w:wordWrap/>
        <w:overflowPunct/>
        <w:topLinePunct w:val="0"/>
        <w:autoSpaceDE/>
        <w:autoSpaceDN/>
        <w:bidi w:val="0"/>
        <w:adjustRightInd/>
        <w:snapToGrid/>
        <w:spacing w:line="580" w:lineRule="exact"/>
        <w:contextualSpacing/>
        <w:jc w:val="center"/>
        <w:textAlignment w:val="auto"/>
        <w:rPr>
          <w:rFonts w:hint="eastAsia" w:ascii="Times New Roman" w:hAnsi="Times New Roman" w:eastAsia="方正小标宋简体" w:cs="Times New Roman"/>
          <w:snapToGrid/>
          <w:kern w:val="2"/>
          <w:sz w:val="44"/>
          <w:szCs w:val="22"/>
          <w:lang w:eastAsia="zh-CN"/>
        </w:rPr>
      </w:pPr>
      <w:r>
        <w:rPr>
          <w:rFonts w:hint="eastAsia" w:ascii="Times New Roman" w:hAnsi="Times New Roman" w:eastAsia="方正小标宋简体" w:cs="Times New Roman"/>
          <w:snapToGrid/>
          <w:kern w:val="2"/>
          <w:sz w:val="44"/>
          <w:szCs w:val="22"/>
          <w:lang w:eastAsia="zh-CN"/>
        </w:rPr>
        <w:t>关于中新生态城202</w:t>
      </w:r>
      <w:r>
        <w:rPr>
          <w:rFonts w:hint="eastAsia" w:ascii="Times New Roman" w:hAnsi="Times New Roman" w:eastAsia="方正小标宋简体" w:cs="Times New Roman"/>
          <w:snapToGrid/>
          <w:kern w:val="2"/>
          <w:sz w:val="44"/>
          <w:szCs w:val="22"/>
          <w:lang w:val="en-US" w:eastAsia="zh-CN"/>
        </w:rPr>
        <w:t>4</w:t>
      </w:r>
      <w:r>
        <w:rPr>
          <w:rFonts w:hint="eastAsia" w:ascii="Times New Roman" w:hAnsi="Times New Roman" w:eastAsia="方正小标宋简体" w:cs="Times New Roman"/>
          <w:snapToGrid/>
          <w:kern w:val="2"/>
          <w:sz w:val="44"/>
          <w:szCs w:val="22"/>
          <w:lang w:eastAsia="zh-CN"/>
        </w:rPr>
        <w:t>年决算草案及202</w:t>
      </w:r>
      <w:r>
        <w:rPr>
          <w:rFonts w:hint="eastAsia" w:ascii="Times New Roman" w:hAnsi="Times New Roman" w:eastAsia="方正小标宋简体" w:cs="Times New Roman"/>
          <w:snapToGrid/>
          <w:kern w:val="2"/>
          <w:sz w:val="44"/>
          <w:szCs w:val="22"/>
          <w:lang w:val="en-US" w:eastAsia="zh-CN"/>
        </w:rPr>
        <w:t>5</w:t>
      </w:r>
      <w:r>
        <w:rPr>
          <w:rFonts w:hint="eastAsia" w:ascii="Times New Roman" w:hAnsi="Times New Roman" w:eastAsia="方正小标宋简体" w:cs="Times New Roman"/>
          <w:snapToGrid/>
          <w:kern w:val="2"/>
          <w:sz w:val="44"/>
          <w:szCs w:val="22"/>
          <w:lang w:eastAsia="zh-CN"/>
        </w:rPr>
        <w:t>年以来预算执行情况的报告</w:t>
      </w:r>
    </w:p>
    <w:p w14:paraId="45A968D1">
      <w:pPr>
        <w:spacing w:line="300" w:lineRule="auto"/>
        <w:rPr>
          <w:rFonts w:ascii="Arial"/>
          <w:sz w:val="21"/>
        </w:rPr>
      </w:pPr>
    </w:p>
    <w:p w14:paraId="65761B93">
      <w:pPr>
        <w:spacing w:line="301" w:lineRule="auto"/>
        <w:rPr>
          <w:rFonts w:ascii="Arial"/>
          <w:sz w:val="21"/>
        </w:rPr>
      </w:pPr>
    </w:p>
    <w:p w14:paraId="667A9C81">
      <w:pPr>
        <w:pStyle w:val="2"/>
        <w:spacing w:before="100" w:line="357" w:lineRule="auto"/>
        <w:ind w:right="74" w:firstLine="705"/>
        <w:jc w:val="both"/>
        <w:rPr>
          <w:rFonts w:hint="eastAsia" w:ascii="Times New Roman" w:hAnsi="Times New Roman" w:eastAsia="仿宋_GB2312" w:cs="Times New Roman"/>
          <w:snapToGrid w:val="0"/>
          <w:color w:val="000000" w:themeColor="text1"/>
          <w:spacing w:val="8"/>
          <w:kern w:val="0"/>
          <w:sz w:val="32"/>
          <w:szCs w:val="32"/>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lang w:val="en-US" w:eastAsia="zh-CN" w:bidi="ar-SA"/>
          <w14:textFill>
            <w14:solidFill>
              <w14:schemeClr w14:val="tx1"/>
            </w14:solidFill>
          </w14:textFill>
        </w:rPr>
        <w:t>2024年是新中国成立75周年，是实施“十四五”规划的攻坚之年。一年来，坚持以习近平新时代中国特色社会主义思想为指导，全面贯彻党的二十大和二十届二中、三中全会精神，深入贯彻落实习近平总书记视察天津重要讲话精神和对天津工作一系列重要指示要求，在市委市政府、区委区政府坚强领导下，以推进京津冀协同发展为战略牵引，以深化改革开放为根本动力，以落实全市“十项行动”为主题主线，聚焦“三新”发展，统筹“三效”提升，扎实推进滨海新区高质量发展示范区建设，奋力推动“四宜四城”建设迈出坚实步伐。</w:t>
      </w:r>
    </w:p>
    <w:p w14:paraId="06D388A9">
      <w:pPr>
        <w:widowControl w:val="0"/>
        <w:kinsoku/>
        <w:autoSpaceDE/>
        <w:autoSpaceDN/>
        <w:adjustRightInd/>
        <w:snapToGrid/>
        <w:spacing w:line="360" w:lineRule="auto"/>
        <w:ind w:firstLine="640" w:firstLineChars="200"/>
        <w:contextualSpacing/>
        <w:jc w:val="both"/>
        <w:textAlignment w:val="auto"/>
        <w:rPr>
          <w:rFonts w:ascii="Times New Roman" w:hAnsi="Times New Roman" w:eastAsia="黑体" w:cstheme="minorBidi"/>
          <w:snapToGrid w:val="0"/>
          <w:color w:val="000000" w:themeColor="text1"/>
          <w:kern w:val="2"/>
          <w:sz w:val="32"/>
          <w:szCs w:val="36"/>
          <w:lang w:eastAsia="zh-CN"/>
          <w14:textFill>
            <w14:solidFill>
              <w14:schemeClr w14:val="tx1"/>
            </w14:solidFill>
          </w14:textFill>
        </w:rPr>
      </w:pPr>
      <w:r>
        <w:rPr>
          <w:rFonts w:ascii="Times New Roman" w:hAnsi="Times New Roman" w:eastAsia="黑体" w:cstheme="minorBidi"/>
          <w:snapToGrid w:val="0"/>
          <w:color w:val="000000" w:themeColor="text1"/>
          <w:kern w:val="2"/>
          <w:sz w:val="32"/>
          <w:szCs w:val="36"/>
          <w:lang w:eastAsia="zh-CN"/>
          <w14:textFill>
            <w14:solidFill>
              <w14:schemeClr w14:val="tx1"/>
            </w14:solidFill>
          </w14:textFill>
        </w:rPr>
        <w:t>一、202</w:t>
      </w:r>
      <w:r>
        <w:rPr>
          <w:rFonts w:hint="eastAsia" w:ascii="Times New Roman" w:hAnsi="Times New Roman" w:eastAsia="黑体" w:cstheme="minorBidi"/>
          <w:snapToGrid w:val="0"/>
          <w:color w:val="000000" w:themeColor="text1"/>
          <w:kern w:val="2"/>
          <w:sz w:val="32"/>
          <w:szCs w:val="36"/>
          <w:lang w:val="en-US" w:eastAsia="zh-CN"/>
          <w14:textFill>
            <w14:solidFill>
              <w14:schemeClr w14:val="tx1"/>
            </w14:solidFill>
          </w14:textFill>
        </w:rPr>
        <w:t>4</w:t>
      </w:r>
      <w:r>
        <w:rPr>
          <w:rFonts w:ascii="Times New Roman" w:hAnsi="Times New Roman" w:eastAsia="黑体" w:cstheme="minorBidi"/>
          <w:snapToGrid w:val="0"/>
          <w:color w:val="000000" w:themeColor="text1"/>
          <w:kern w:val="2"/>
          <w:sz w:val="32"/>
          <w:szCs w:val="36"/>
          <w:lang w:eastAsia="zh-CN"/>
          <w14:textFill>
            <w14:solidFill>
              <w14:schemeClr w14:val="tx1"/>
            </w14:solidFill>
          </w14:textFill>
        </w:rPr>
        <w:t>年财政决算情况</w:t>
      </w:r>
    </w:p>
    <w:p w14:paraId="20BD5276">
      <w:pPr>
        <w:widowControl w:val="0"/>
        <w:kinsoku/>
        <w:autoSpaceDE/>
        <w:autoSpaceDN/>
        <w:adjustRightInd/>
        <w:snapToGrid/>
        <w:spacing w:line="360" w:lineRule="auto"/>
        <w:ind w:firstLine="675" w:firstLineChars="200"/>
        <w:jc w:val="both"/>
        <w:textAlignment w:val="auto"/>
        <w:rPr>
          <w:rFonts w:hint="eastAsia" w:ascii="楷体_GB2312" w:hAnsi="Times New Roman" w:eastAsia="楷体_GB2312" w:cs="Times New Roman"/>
          <w:b/>
          <w:snapToGrid w:val="0"/>
          <w:color w:val="000000" w:themeColor="text1"/>
          <w:spacing w:val="8"/>
          <w:kern w:val="0"/>
          <w:sz w:val="32"/>
          <w:szCs w:val="32"/>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lang w:eastAsia="zh-CN"/>
          <w14:textFill>
            <w14:solidFill>
              <w14:schemeClr w14:val="tx1"/>
            </w14:solidFill>
          </w14:textFill>
        </w:rPr>
        <w:t>（一）财政收支情况</w:t>
      </w:r>
    </w:p>
    <w:p w14:paraId="593E212B">
      <w:pPr>
        <w:widowControl w:val="0"/>
        <w:kinsoku/>
        <w:autoSpaceDE/>
        <w:autoSpaceDN/>
        <w:adjustRightInd/>
        <w:snapToGrid/>
        <w:spacing w:line="360" w:lineRule="auto"/>
        <w:ind w:firstLine="675" w:firstLineChars="200"/>
        <w:jc w:val="both"/>
        <w:textAlignment w:val="auto"/>
        <w:rPr>
          <w:rFonts w:ascii="Times New Roman" w:hAnsi="Times New Roman" w:eastAsia="仿宋_GB2312" w:cs="Times New Roman"/>
          <w:b/>
          <w:snapToGrid w:val="0"/>
          <w:color w:val="000000" w:themeColor="text1"/>
          <w:spacing w:val="8"/>
          <w:kern w:val="0"/>
          <w:sz w:val="32"/>
          <w:szCs w:val="32"/>
          <w:lang w:eastAsia="zh-CN"/>
          <w14:textFill>
            <w14:solidFill>
              <w14:schemeClr w14:val="tx1"/>
            </w14:solidFill>
          </w14:textFill>
        </w:rPr>
      </w:pPr>
      <w:r>
        <w:rPr>
          <w:rFonts w:ascii="Times New Roman" w:hAnsi="Times New Roman" w:eastAsia="仿宋_GB2312" w:cs="Times New Roman"/>
          <w:b/>
          <w:snapToGrid w:val="0"/>
          <w:color w:val="000000" w:themeColor="text1"/>
          <w:spacing w:val="8"/>
          <w:kern w:val="0"/>
          <w:sz w:val="32"/>
          <w:szCs w:val="32"/>
          <w:lang w:eastAsia="zh-CN"/>
          <w14:textFill>
            <w14:solidFill>
              <w14:schemeClr w14:val="tx1"/>
            </w14:solidFill>
          </w14:textFill>
        </w:rPr>
        <w:t>1.一般公共预算</w:t>
      </w:r>
    </w:p>
    <w:p w14:paraId="6F38D348">
      <w:pPr>
        <w:widowControl w:val="0"/>
        <w:kinsoku/>
        <w:autoSpaceDE/>
        <w:autoSpaceDN/>
        <w:adjustRightInd/>
        <w:snapToGrid/>
        <w:spacing w:line="360" w:lineRule="auto"/>
        <w:ind w:firstLine="672" w:firstLineChars="200"/>
        <w:jc w:val="both"/>
        <w:textAlignment w:val="auto"/>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一般公共预算收支。一般公共预算收入3</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8</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.7亿元，同比增长</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5.4</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%，完成预算</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99</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4</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%，其中：税收收入3</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0</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亿元，同比</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下降6.1</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%，占比</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78</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2</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%，非税收入</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8.</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4亿元，较上年涨</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87</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.6%，占比</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21.8</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%。一般公共预算支出</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64.1</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亿元，同比增长32.7%，完成调整预算</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108.2</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w:t>
      </w:r>
    </w:p>
    <w:p w14:paraId="1F8547C0">
      <w:pPr>
        <w:widowControl w:val="0"/>
        <w:kinsoku/>
        <w:autoSpaceDE/>
        <w:autoSpaceDN/>
        <w:adjustRightInd/>
        <w:snapToGrid/>
        <w:spacing w:line="360" w:lineRule="auto"/>
        <w:ind w:firstLine="672" w:firstLineChars="200"/>
        <w:jc w:val="both"/>
        <w:textAlignment w:val="auto"/>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转移支付情况。市级及新区对生态城的补助收入</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7.1</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亿元，由生态城统筹使用，其中专项转移支付0.4亿</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元</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，按规定专款专用。</w:t>
      </w:r>
    </w:p>
    <w:p w14:paraId="3508AFB8">
      <w:pPr>
        <w:widowControl w:val="0"/>
        <w:kinsoku/>
        <w:autoSpaceDE/>
        <w:autoSpaceDN/>
        <w:adjustRightInd/>
        <w:snapToGrid/>
        <w:spacing w:line="360" w:lineRule="auto"/>
        <w:ind w:firstLine="672" w:firstLineChars="200"/>
        <w:jc w:val="both"/>
        <w:textAlignment w:val="auto"/>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收支平衡情况。生态城一般公共预算收入3</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8</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.7亿元，加上上级财政转移支付等收入</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7.1</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亿元，上年结余0.</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82</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亿元，调入调出资金</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1.8</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亿元，一般债务收入</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16.1</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减去债务还本支出0.2亿元，</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一般公共预算总收入</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64.3</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亿元。一般公共预算支出</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64.1</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亿元，全年收支相抵，一般公共预算结余0.</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24</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亿元，全部为结转项目资金。</w:t>
      </w:r>
    </w:p>
    <w:p w14:paraId="7B202548">
      <w:pPr>
        <w:widowControl w:val="0"/>
        <w:kinsoku/>
        <w:autoSpaceDE/>
        <w:autoSpaceDN/>
        <w:adjustRightInd/>
        <w:snapToGrid/>
        <w:spacing w:line="360" w:lineRule="auto"/>
        <w:ind w:firstLine="675" w:firstLineChars="200"/>
        <w:jc w:val="both"/>
        <w:textAlignment w:val="auto"/>
        <w:rPr>
          <w:rFonts w:ascii="Times New Roman" w:hAnsi="Times New Roman" w:eastAsia="仿宋_GB2312" w:cs="Times New Roman"/>
          <w:b/>
          <w:snapToGrid w:val="0"/>
          <w:color w:val="000000" w:themeColor="text1"/>
          <w:spacing w:val="8"/>
          <w:kern w:val="0"/>
          <w:sz w:val="32"/>
          <w:szCs w:val="32"/>
          <w:lang w:eastAsia="zh-CN"/>
          <w14:textFill>
            <w14:solidFill>
              <w14:schemeClr w14:val="tx1"/>
            </w14:solidFill>
          </w14:textFill>
        </w:rPr>
      </w:pPr>
      <w:r>
        <w:rPr>
          <w:rFonts w:ascii="Times New Roman" w:hAnsi="Times New Roman" w:eastAsia="仿宋_GB2312" w:cs="Times New Roman"/>
          <w:b/>
          <w:snapToGrid w:val="0"/>
          <w:color w:val="000000" w:themeColor="text1"/>
          <w:spacing w:val="8"/>
          <w:kern w:val="0"/>
          <w:sz w:val="32"/>
          <w:szCs w:val="32"/>
          <w:lang w:eastAsia="zh-CN"/>
          <w14:textFill>
            <w14:solidFill>
              <w14:schemeClr w14:val="tx1"/>
            </w14:solidFill>
          </w14:textFill>
        </w:rPr>
        <w:t>2.政府性基金预算</w:t>
      </w:r>
    </w:p>
    <w:p w14:paraId="7E7ED5CB">
      <w:pPr>
        <w:widowControl w:val="0"/>
        <w:kinsoku/>
        <w:autoSpaceDE/>
        <w:autoSpaceDN/>
        <w:adjustRightInd/>
        <w:snapToGrid/>
        <w:spacing w:line="360" w:lineRule="auto"/>
        <w:ind w:firstLine="640" w:firstLineChars="200"/>
        <w:jc w:val="both"/>
        <w:textAlignment w:val="auto"/>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pP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政府性基金预算收入12.</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46</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亿元，完成预算</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64.7</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%，较上年</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减少0.38</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亿元。加上</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上级财政转移支付等收入</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1.18</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上年结余</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8.42</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亿元，调入调出资金</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-1.72</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亿元，专项债务收入</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8.5</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亿元，政府性基金预算总收入</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28.84</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亿元。政府性基金预算支出</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24.69</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亿元，完成调整预算</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68.8</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%，较上年</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减少2.65</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亿元。全年收支相抵，政府性基金预算结余</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4.15</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亿元，全部为结转项目资金。</w:t>
      </w:r>
    </w:p>
    <w:p w14:paraId="6D6818D8">
      <w:pPr>
        <w:widowControl w:val="0"/>
        <w:numPr>
          <w:ilvl w:val="0"/>
          <w:numId w:val="1"/>
        </w:numPr>
        <w:kinsoku/>
        <w:autoSpaceDE/>
        <w:autoSpaceDN/>
        <w:adjustRightInd/>
        <w:snapToGrid/>
        <w:spacing w:line="360" w:lineRule="auto"/>
        <w:ind w:firstLine="675" w:firstLineChars="200"/>
        <w:jc w:val="both"/>
        <w:textAlignment w:val="auto"/>
        <w:rPr>
          <w:rFonts w:ascii="Times New Roman" w:hAnsi="Times New Roman" w:eastAsia="仿宋_GB2312" w:cs="Times New Roman"/>
          <w:b/>
          <w:snapToGrid w:val="0"/>
          <w:color w:val="000000" w:themeColor="text1"/>
          <w:spacing w:val="8"/>
          <w:kern w:val="0"/>
          <w:sz w:val="32"/>
          <w:szCs w:val="32"/>
          <w:lang w:eastAsia="zh-CN"/>
          <w14:textFill>
            <w14:solidFill>
              <w14:schemeClr w14:val="tx1"/>
            </w14:solidFill>
          </w14:textFill>
        </w:rPr>
      </w:pPr>
      <w:r>
        <w:rPr>
          <w:rFonts w:ascii="Times New Roman" w:hAnsi="Times New Roman" w:eastAsia="仿宋_GB2312" w:cs="Times New Roman"/>
          <w:b/>
          <w:snapToGrid w:val="0"/>
          <w:color w:val="000000" w:themeColor="text1"/>
          <w:spacing w:val="8"/>
          <w:kern w:val="0"/>
          <w:sz w:val="32"/>
          <w:szCs w:val="32"/>
          <w:lang w:eastAsia="zh-CN"/>
          <w14:textFill>
            <w14:solidFill>
              <w14:schemeClr w14:val="tx1"/>
            </w14:solidFill>
          </w14:textFill>
        </w:rPr>
        <w:t>国有资本经营预算</w:t>
      </w:r>
    </w:p>
    <w:p w14:paraId="071AF759">
      <w:pPr>
        <w:widowControl w:val="0"/>
        <w:numPr>
          <w:ilvl w:val="0"/>
          <w:numId w:val="0"/>
        </w:numPr>
        <w:kinsoku/>
        <w:autoSpaceDE/>
        <w:autoSpaceDN/>
        <w:adjustRightInd/>
        <w:snapToGrid/>
        <w:spacing w:line="360" w:lineRule="auto"/>
        <w:ind w:firstLine="640" w:firstLineChars="200"/>
        <w:jc w:val="both"/>
        <w:textAlignment w:val="auto"/>
        <w:rPr>
          <w:rFonts w:hint="eastAsia" w:ascii="Times New Roman" w:hAnsi="Times New Roman" w:eastAsia="仿宋_GB2312" w:cs="仿宋_GB2312"/>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仿宋_GB2312"/>
          <w:snapToGrid/>
          <w:color w:val="000000" w:themeColor="text1"/>
          <w:kern w:val="0"/>
          <w:sz w:val="32"/>
          <w:szCs w:val="32"/>
          <w:lang w:val="en-US" w:eastAsia="zh-CN" w:bidi="ar-SA"/>
          <w14:textFill>
            <w14:solidFill>
              <w14:schemeClr w14:val="tx1"/>
            </w14:solidFill>
          </w14:textFill>
        </w:rPr>
        <w:t>国有资本经营预算收入0.12亿元，</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完成预算</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173.1</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%，较上年</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增加0.12</w:t>
      </w:r>
      <w:r>
        <w:rPr>
          <w:rFonts w:hint="eastAsia" w:ascii="Times New Roman" w:hAnsi="Times New Roman" w:eastAsia="仿宋_GB2312" w:cs="仿宋_GB2312"/>
          <w:snapToGrid/>
          <w:color w:val="000000" w:themeColor="text1"/>
          <w:kern w:val="0"/>
          <w:sz w:val="32"/>
          <w:szCs w:val="32"/>
          <w:lang w:eastAsia="zh-CN"/>
          <w14:textFill>
            <w14:solidFill>
              <w14:schemeClr w14:val="tx1"/>
            </w14:solidFill>
          </w14:textFill>
        </w:rPr>
        <w:t>亿元。</w:t>
      </w:r>
      <w:r>
        <w:rPr>
          <w:rFonts w:hint="eastAsia" w:ascii="Times New Roman" w:hAnsi="Times New Roman" w:eastAsia="仿宋_GB2312" w:cs="仿宋_GB2312"/>
          <w:snapToGrid/>
          <w:color w:val="000000" w:themeColor="text1"/>
          <w:kern w:val="0"/>
          <w:sz w:val="32"/>
          <w:szCs w:val="32"/>
          <w:lang w:val="en-US" w:eastAsia="zh-CN"/>
          <w14:textFill>
            <w14:solidFill>
              <w14:schemeClr w14:val="tx1"/>
            </w14:solidFill>
          </w14:textFill>
        </w:rPr>
        <w:t>减去调出资金0.07亿元</w:t>
      </w:r>
      <w:r>
        <w:rPr>
          <w:rFonts w:hint="eastAsia" w:ascii="Times New Roman" w:hAnsi="Times New Roman" w:eastAsia="仿宋_GB2312" w:cs="仿宋_GB2312"/>
          <w:snapToGrid/>
          <w:color w:val="000000" w:themeColor="text1"/>
          <w:kern w:val="0"/>
          <w:sz w:val="32"/>
          <w:szCs w:val="32"/>
          <w:lang w:val="en-US" w:eastAsia="zh-CN" w:bidi="ar-SA"/>
          <w14:textFill>
            <w14:solidFill>
              <w14:schemeClr w14:val="tx1"/>
            </w14:solidFill>
          </w14:textFill>
        </w:rPr>
        <w:t>，国有资本经营预算总收入0.05亿元。国有资本经营预算结余0.05亿元。</w:t>
      </w:r>
    </w:p>
    <w:p w14:paraId="78474875">
      <w:pPr>
        <w:widowControl w:val="0"/>
        <w:kinsoku/>
        <w:autoSpaceDE/>
        <w:autoSpaceDN/>
        <w:adjustRightInd/>
        <w:snapToGrid/>
        <w:spacing w:line="360" w:lineRule="auto"/>
        <w:ind w:firstLine="705"/>
        <w:jc w:val="both"/>
        <w:textAlignment w:val="auto"/>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（二）政府债务情况</w:t>
      </w:r>
    </w:p>
    <w:p w14:paraId="61E075A0">
      <w:pPr>
        <w:widowControl w:val="0"/>
        <w:kinsoku/>
        <w:autoSpaceDE w:val="0"/>
        <w:autoSpaceDN w:val="0"/>
        <w:adjustRightInd w:val="0"/>
        <w:snapToGrid/>
        <w:spacing w:line="360" w:lineRule="auto"/>
        <w:ind w:firstLine="672" w:firstLineChars="200"/>
        <w:jc w:val="both"/>
        <w:textAlignment w:val="auto"/>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2024年</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末生态城政府债务余额</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134.52</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亿元，其中，一般债券</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33.16</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亿元，专项债券</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101.36</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2024年</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当年新增政府债务</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31.06</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亿元，其中一般债券1</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5.89</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亿元，专项债券15</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.17</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亿元。</w:t>
      </w:r>
    </w:p>
    <w:p w14:paraId="1346512C">
      <w:pPr>
        <w:widowControl w:val="0"/>
        <w:kinsoku/>
        <w:autoSpaceDE/>
        <w:autoSpaceDN/>
        <w:adjustRightInd/>
        <w:snapToGrid/>
        <w:spacing w:line="360" w:lineRule="auto"/>
        <w:ind w:firstLine="705"/>
        <w:jc w:val="both"/>
        <w:textAlignment w:val="auto"/>
        <w:rPr>
          <w:rFonts w:hint="eastAsia" w:ascii="楷体_GB2312" w:hAnsi="Times New Roman" w:eastAsia="楷体_GB2312" w:cs="Times New Roman"/>
          <w:b/>
          <w:snapToGrid w:val="0"/>
          <w:color w:val="000000" w:themeColor="text1"/>
          <w:spacing w:val="8"/>
          <w:kern w:val="0"/>
          <w:sz w:val="32"/>
          <w:szCs w:val="32"/>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lang w:eastAsia="zh-CN"/>
          <w14:textFill>
            <w14:solidFill>
              <w14:schemeClr w14:val="tx1"/>
            </w14:solidFill>
          </w14:textFill>
        </w:rPr>
        <w:t>（三）“三公”经费情况</w:t>
      </w:r>
    </w:p>
    <w:p w14:paraId="043B0150">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生态城财政拨款“三公”经费支出0.03亿元，同比增加</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1.29</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%，主要原因为</w:t>
      </w:r>
      <w:r>
        <w:rPr>
          <w:rFonts w:hint="eastAsia" w:ascii="仿宋_GB2312" w:hAnsi="仿宋_GB2312" w:eastAsia="仿宋_GB2312" w:cs="仿宋_GB2312"/>
          <w:color w:val="000000"/>
          <w:sz w:val="32"/>
          <w:szCs w:val="32"/>
        </w:rPr>
        <w:t>生态城切实将过“紧日子”思想落到实处，持续把严“三公”经</w:t>
      </w:r>
      <w:r>
        <w:rPr>
          <w:rFonts w:ascii="Times New Roman" w:hAnsi="Times New Roman" w:eastAsia="仿宋_GB2312"/>
          <w:color w:val="000000"/>
          <w:sz w:val="32"/>
          <w:szCs w:val="32"/>
        </w:rPr>
        <w:t>费支出关</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。其中，因公出国经费0.01</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69</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亿元，公务用车购置及运行费0.0</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097</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亿元（包括公务用车购置费0.00</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25</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亿元，公务用车运行维护费0.00</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72</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亿元），公务接待费0.00</w:t>
      </w:r>
      <w:r>
        <w:rPr>
          <w:rFonts w:hint="eastAsia" w:ascii="Times New Roman" w:hAnsi="Times New Roman" w:eastAsia="仿宋_GB2312" w:cs="Times New Roman"/>
          <w:snapToGrid w:val="0"/>
          <w:color w:val="000000" w:themeColor="text1"/>
          <w:spacing w:val="8"/>
          <w:kern w:val="0"/>
          <w:sz w:val="32"/>
          <w:szCs w:val="32"/>
          <w:lang w:val="en-US" w:eastAsia="zh-CN"/>
          <w14:textFill>
            <w14:solidFill>
              <w14:schemeClr w14:val="tx1"/>
            </w14:solidFill>
          </w14:textFill>
        </w:rPr>
        <w:t>49</w:t>
      </w:r>
      <w:r>
        <w:rPr>
          <w:rFonts w:hint="eastAsia" w:ascii="Times New Roman" w:hAnsi="Times New Roman" w:eastAsia="仿宋_GB2312" w:cs="Times New Roman"/>
          <w:snapToGrid w:val="0"/>
          <w:color w:val="000000" w:themeColor="text1"/>
          <w:spacing w:val="8"/>
          <w:kern w:val="0"/>
          <w:sz w:val="32"/>
          <w:szCs w:val="32"/>
          <w:lang w:eastAsia="zh-CN"/>
          <w14:textFill>
            <w14:solidFill>
              <w14:schemeClr w14:val="tx1"/>
            </w14:solidFill>
          </w14:textFill>
        </w:rPr>
        <w:t>亿元。</w:t>
      </w:r>
    </w:p>
    <w:p w14:paraId="3AED4301">
      <w:pPr>
        <w:widowControl w:val="0"/>
        <w:kinsoku/>
        <w:autoSpaceDE/>
        <w:autoSpaceDN/>
        <w:adjustRightInd/>
        <w:snapToGrid/>
        <w:spacing w:line="360" w:lineRule="auto"/>
        <w:ind w:firstLine="705"/>
        <w:jc w:val="both"/>
        <w:textAlignment w:val="auto"/>
        <w:rPr>
          <w:rFonts w:hint="eastAsia" w:ascii="楷体_GB2312" w:hAnsi="Times New Roman" w:eastAsia="楷体_GB2312" w:cs="Times New Roman"/>
          <w:b/>
          <w:snapToGrid w:val="0"/>
          <w:color w:val="000000" w:themeColor="text1"/>
          <w:spacing w:val="8"/>
          <w:kern w:val="0"/>
          <w:sz w:val="32"/>
          <w:szCs w:val="32"/>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lang w:eastAsia="zh-CN"/>
          <w14:textFill>
            <w14:solidFill>
              <w14:schemeClr w14:val="tx1"/>
            </w14:solidFill>
          </w14:textFill>
        </w:rPr>
        <w:t>（四）财政收支变化情况</w:t>
      </w:r>
    </w:p>
    <w:p w14:paraId="4A96F3E5">
      <w:pPr>
        <w:widowControl w:val="0"/>
        <w:kinsoku/>
        <w:autoSpaceDE/>
        <w:autoSpaceDN/>
        <w:adjustRightInd/>
        <w:snapToGrid/>
        <w:spacing w:line="360" w:lineRule="auto"/>
        <w:ind w:firstLine="705"/>
        <w:jc w:val="both"/>
        <w:textAlignment w:val="auto"/>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2024年</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，生态城财政收支决算与区四届人大</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三</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次会议审议的预算执行情况相比，市级及新区财政对生态城转移支付等收入有所变化，主要是由于区四届人大</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三</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次会议召开时，结算工作尚未结束，市及新区转移支付等收入均是按照预计数填列。</w:t>
      </w:r>
    </w:p>
    <w:p w14:paraId="64494EF8">
      <w:pPr>
        <w:widowControl w:val="0"/>
        <w:kinsoku/>
        <w:autoSpaceDE/>
        <w:autoSpaceDN/>
        <w:adjustRightInd/>
        <w:snapToGrid/>
        <w:spacing w:line="360" w:lineRule="auto"/>
        <w:ind w:firstLine="640" w:firstLineChars="200"/>
        <w:jc w:val="both"/>
        <w:textAlignment w:val="auto"/>
        <w:rPr>
          <w:rFonts w:hint="eastAsia" w:ascii="Times New Roman" w:hAnsi="Times New Roman" w:eastAsia="黑体" w:cstheme="minorBidi"/>
          <w:snapToGrid/>
          <w:color w:val="000000" w:themeColor="text1"/>
          <w:kern w:val="2"/>
          <w:sz w:val="32"/>
          <w:szCs w:val="32"/>
          <w:highlight w:val="none"/>
          <w:lang w:eastAsia="zh-CN"/>
          <w14:textFill>
            <w14:solidFill>
              <w14:schemeClr w14:val="tx1"/>
            </w14:solidFill>
          </w14:textFill>
        </w:rPr>
      </w:pPr>
      <w:r>
        <w:rPr>
          <w:rFonts w:hint="eastAsia" w:ascii="Times New Roman" w:hAnsi="Times New Roman" w:eastAsia="黑体" w:cstheme="minorBidi"/>
          <w:snapToGrid/>
          <w:color w:val="000000" w:themeColor="text1"/>
          <w:kern w:val="2"/>
          <w:sz w:val="32"/>
          <w:szCs w:val="32"/>
          <w:highlight w:val="none"/>
          <w:lang w:eastAsia="zh-CN"/>
          <w14:textFill>
            <w14:solidFill>
              <w14:schemeClr w14:val="tx1"/>
            </w14:solidFill>
          </w14:textFill>
        </w:rPr>
        <w:t>二、202</w:t>
      </w:r>
      <w:r>
        <w:rPr>
          <w:rFonts w:hint="eastAsia" w:ascii="Times New Roman" w:hAnsi="Times New Roman" w:eastAsia="黑体" w:cstheme="minorBidi"/>
          <w:snapToGrid/>
          <w:color w:val="000000" w:themeColor="text1"/>
          <w:kern w:val="2"/>
          <w:sz w:val="32"/>
          <w:szCs w:val="32"/>
          <w:highlight w:val="none"/>
          <w:lang w:val="en-US" w:eastAsia="zh-CN"/>
          <w14:textFill>
            <w14:solidFill>
              <w14:schemeClr w14:val="tx1"/>
            </w14:solidFill>
          </w14:textFill>
        </w:rPr>
        <w:t>5</w:t>
      </w:r>
      <w:r>
        <w:rPr>
          <w:rFonts w:hint="eastAsia" w:ascii="Times New Roman" w:hAnsi="Times New Roman" w:eastAsia="黑体" w:cstheme="minorBidi"/>
          <w:snapToGrid/>
          <w:color w:val="000000" w:themeColor="text1"/>
          <w:kern w:val="2"/>
          <w:sz w:val="32"/>
          <w:szCs w:val="32"/>
          <w:highlight w:val="none"/>
          <w:lang w:eastAsia="zh-CN"/>
          <w14:textFill>
            <w14:solidFill>
              <w14:schemeClr w14:val="tx1"/>
            </w14:solidFill>
          </w14:textFill>
        </w:rPr>
        <w:t>年以来预算执行情况</w:t>
      </w:r>
    </w:p>
    <w:p w14:paraId="54563A24">
      <w:pPr>
        <w:widowControl w:val="0"/>
        <w:kinsoku/>
        <w:autoSpaceDE/>
        <w:autoSpaceDN/>
        <w:adjustRightInd/>
        <w:snapToGrid/>
        <w:spacing w:line="360" w:lineRule="auto"/>
        <w:ind w:firstLine="705"/>
        <w:jc w:val="both"/>
        <w:textAlignment w:val="auto"/>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（一）一般公共预算</w:t>
      </w:r>
    </w:p>
    <w:p w14:paraId="747815C4">
      <w:pPr>
        <w:widowControl w:val="0"/>
        <w:kinsoku/>
        <w:autoSpaceDE/>
        <w:autoSpaceDN/>
        <w:adjustRightInd/>
        <w:snapToGrid/>
        <w:spacing w:line="360" w:lineRule="auto"/>
        <w:ind w:firstLine="705"/>
        <w:jc w:val="both"/>
        <w:textAlignment w:val="auto"/>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pP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1至</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7</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月份，生态城一般公共预算收入</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24.8</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亿元，同比增长</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4.2</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%，完成年度预算</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40.3</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亿元的</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62</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%。其中，税收收入</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18.7</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亿元，同比</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增长4.8</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%，占比</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75.4</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%；非税收入</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6.1</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亿元，同比</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增长</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2.5</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%，占比2</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4</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6</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p>
    <w:p w14:paraId="186EAC4B">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从主要税种情况看：</w:t>
      </w:r>
    </w:p>
    <w:p w14:paraId="3B08F247">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增值税完成</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6.69</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亿元，增收</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亿元，增长</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28</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9</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%；企业所得税完成</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亿元，减收</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亿元，下降</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21.6</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%；个人所得税完成</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2.6</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增</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收</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0.8</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增长44.7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%；城市维护建设税完成</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2.1</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亿元，增收0.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亿元，增长</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14.5%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；土地增值税完成0.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23</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亿元，减收</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0.3</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亿元，下降</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56</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%，主要是</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今年发生</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中建致远土地增值税退税0.25亿元；契税完成</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1.04</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亿元，减收0.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45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亿元，下降</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30.2</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%，主要受房地产市场影响，房产交易量下降，带动契税同比下降；房产税等其他税种共完成</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亿元，增收0.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03</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亿元，增长</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p>
    <w:p w14:paraId="7EC19073">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1至</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月份，生态城一般公共预算支出</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16.9</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亿元，同比</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下降30.9</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%，完成年度预算4</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0</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.3亿元的</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41.9</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%。其中，一般公共服务支出1.</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减少</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亿元，同比</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下降12.7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%；公共安全支出0.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13</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亿元，较去年增加0.0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亿元，同比增长</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两倍</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；教育支出</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5.02</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亿元，较去年增加</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1.02</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亿元，增长</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25.6</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%；社会保障和就业支出0.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92</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增加</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04</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增长4.52</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%；卫生健康支出0.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72</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减少0.29</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下降28.7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%；节能环保支出0.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36</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亿元，较去年减少0.05亿元，下降</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11.6</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%；灾害防治及应急管理支出0.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减少</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0.0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下降26.5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%；文化旅游体育与传媒支出0.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34</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减少</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.16</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下降4.6</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%；商业服务业等支出</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0.08</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减少6.19</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下降98.7</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%；城乡社区支出</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3.43</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亿元，较上年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减少0.88</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下降20.4%</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；科学技术支出</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3.28</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亿元，较上年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减少0.99</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下降23.18%</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；资源勘探工业信息等支出</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1.35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亿元，较去年增加0.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55</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亿元，增长</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68.1%</w:t>
      </w:r>
      <w:r>
        <w:rPr>
          <w:rFonts w:hint="eastAsia"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p>
    <w:p w14:paraId="58B6E8A2">
      <w:pPr>
        <w:widowControl w:val="0"/>
        <w:kinsoku/>
        <w:autoSpaceDE/>
        <w:autoSpaceDN/>
        <w:adjustRightInd/>
        <w:snapToGrid/>
        <w:spacing w:line="360" w:lineRule="auto"/>
        <w:ind w:firstLine="705"/>
        <w:jc w:val="both"/>
        <w:textAlignment w:val="auto"/>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（二）政府性基金预算</w:t>
      </w:r>
    </w:p>
    <w:p w14:paraId="407E226A">
      <w:pPr>
        <w:widowControl w:val="0"/>
        <w:kinsoku/>
        <w:autoSpaceDE/>
        <w:autoSpaceDN/>
        <w:adjustRightInd/>
        <w:snapToGrid/>
        <w:spacing w:line="360" w:lineRule="auto"/>
        <w:ind w:firstLine="705"/>
        <w:jc w:val="both"/>
        <w:textAlignment w:val="auto"/>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pP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1至</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7</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月，生态城政府性基金收入</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3.27</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亿元，较去年同期</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收</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81</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亿元，同比</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下降46.3</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%，完成年度预算1</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8</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69</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亿元的</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17.5</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%。其中，国有土地使用权出让收入</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3.1</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亿元，较去年同期</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减收1.81</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下降36.8</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%；城市基础设施配套费收入0.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16</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亿元，减收0.</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88</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亿元，下降</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84.3</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%。政府性基金支出</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8.08</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亿元，较去年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增加0.43</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亿元，同比</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增长5.64</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%，完成年度预算2</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2.7</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亿元的</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35.5</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w:t>
      </w:r>
    </w:p>
    <w:p w14:paraId="487A8755">
      <w:pPr>
        <w:spacing w:before="1" w:line="223" w:lineRule="auto"/>
        <w:ind w:left="724"/>
        <w:outlineLvl w:val="0"/>
        <w:rPr>
          <w:rFonts w:ascii="楷体" w:hAnsi="楷体" w:eastAsia="楷体" w:cs="楷体"/>
          <w:sz w:val="31"/>
          <w:szCs w:val="31"/>
          <w:highlight w:val="none"/>
        </w:rPr>
      </w:pPr>
      <w:r>
        <w:rPr>
          <w:rFonts w:ascii="楷体" w:hAnsi="楷体" w:eastAsia="楷体" w:cs="楷体"/>
          <w:b/>
          <w:bCs/>
          <w:spacing w:val="12"/>
          <w:sz w:val="31"/>
          <w:szCs w:val="31"/>
          <w:highlight w:val="none"/>
        </w:rPr>
        <w:t>（三）国有资本经营预算</w:t>
      </w:r>
    </w:p>
    <w:p w14:paraId="62EBAFAF">
      <w:pPr>
        <w:widowControl w:val="0"/>
        <w:kinsoku/>
        <w:autoSpaceDE/>
        <w:autoSpaceDN/>
        <w:adjustRightInd/>
        <w:snapToGrid/>
        <w:spacing w:line="360" w:lineRule="auto"/>
        <w:ind w:firstLine="705"/>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1至</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7</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月，生态城未实现国有资本经营预算收入，也未发</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生国有资本经营预算支出。</w:t>
      </w:r>
    </w:p>
    <w:p w14:paraId="506A2424">
      <w:pPr>
        <w:widowControl w:val="0"/>
        <w:kinsoku/>
        <w:autoSpaceDE/>
        <w:autoSpaceDN/>
        <w:adjustRightInd/>
        <w:snapToGrid/>
        <w:spacing w:line="360" w:lineRule="auto"/>
        <w:ind w:firstLine="705"/>
        <w:jc w:val="both"/>
        <w:textAlignment w:val="auto"/>
        <w:rPr>
          <w:rFonts w:hint="eastAsia" w:ascii="楷体_GB2312" w:hAnsi="Times New Roman" w:eastAsia="楷体_GB2312" w:cs="Times New Roman"/>
          <w:b/>
          <w:snapToGrid w:val="0"/>
          <w:color w:val="000000" w:themeColor="text1"/>
          <w:spacing w:val="8"/>
          <w:kern w:val="0"/>
          <w:sz w:val="32"/>
          <w:szCs w:val="32"/>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lang w:eastAsia="zh-CN"/>
          <w14:textFill>
            <w14:solidFill>
              <w14:schemeClr w14:val="tx1"/>
            </w14:solidFill>
          </w14:textFill>
        </w:rPr>
        <w:t>（四）预算执行主要特点</w:t>
      </w:r>
    </w:p>
    <w:p w14:paraId="1E757C06">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bCs/>
          <w:snapToGrid/>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snapToGrid/>
          <w:color w:val="000000" w:themeColor="text1"/>
          <w:kern w:val="2"/>
          <w:sz w:val="32"/>
          <w:szCs w:val="32"/>
          <w:highlight w:val="none"/>
          <w:lang w:val="en-US" w:eastAsia="zh-CN" w:bidi="ar-SA"/>
          <w14:textFill>
            <w14:solidFill>
              <w14:schemeClr w14:val="tx1"/>
            </w14:solidFill>
          </w14:textFill>
        </w:rPr>
        <w:t>一是财政收入稳步增长，国有资产盘活创收增效。</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今年1至7月，生态城实现本级一般公共预算收入</w:t>
      </w:r>
      <w:r>
        <w:rPr>
          <w:rFonts w:ascii="Times New Roman" w:hAnsi="Times New Roman" w:eastAsia="仿宋_GB2312" w:cs="Times New Roman"/>
          <w:snapToGrid/>
          <w:color w:val="000000" w:themeColor="text1"/>
          <w:kern w:val="2"/>
          <w:sz w:val="32"/>
          <w:szCs w:val="32"/>
          <w:highlight w:val="none"/>
          <w:lang w:eastAsia="zh-CN"/>
          <w14:textFill>
            <w14:solidFill>
              <w14:schemeClr w14:val="tx1"/>
            </w14:solidFill>
          </w14:textFill>
        </w:rPr>
        <w:t>2</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4.8亿元，同比增长4.2%。其中，增值税、企业所得税、契税等主要税种合计增收11.41亿元。着力推进资源资产高效盘活，切实提高存量资产利用效益，深入研究政府投资项目盘活方案，严密组织实施方案，成功推动完成出售营城污水处理厂一期项目资产协议转让，以及停车泊位与公共停车场有偿使用等运营管理工作，完成国有资源（资产）有偿使用收入4.3亿元，增收4.3亿元。</w:t>
      </w:r>
    </w:p>
    <w:p w14:paraId="663CB1E2">
      <w:pPr>
        <w:pStyle w:val="2"/>
        <w:spacing w:before="217" w:line="355" w:lineRule="auto"/>
        <w:ind w:left="26" w:right="68" w:firstLine="645"/>
        <w:jc w:val="both"/>
        <w:rPr>
          <w:rFonts w:hint="eastAsia" w:ascii="Times New Roman" w:hAnsi="Times New Roman" w:eastAsia="仿宋_GB2312" w:cs="Times New Roman"/>
          <w:snapToGrid/>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snapToGrid/>
          <w:color w:val="000000" w:themeColor="text1"/>
          <w:kern w:val="2"/>
          <w:sz w:val="32"/>
          <w:szCs w:val="32"/>
          <w:highlight w:val="none"/>
          <w:lang w:val="en-US" w:eastAsia="zh-CN" w:bidi="ar-SA"/>
          <w14:textFill>
            <w14:solidFill>
              <w14:schemeClr w14:val="tx1"/>
            </w14:solidFill>
          </w14:textFill>
        </w:rPr>
        <w:t>二是优化资金统筹，夯实民生及重点项目支出基础。</w:t>
      </w:r>
      <w:r>
        <w:rPr>
          <w:rFonts w:hint="eastAsia" w:ascii="Times New Roman" w:hAnsi="Times New Roman" w:eastAsia="仿宋_GB2312" w:cs="仿宋_GB2312"/>
          <w:kern w:val="0"/>
          <w:sz w:val="32"/>
          <w:szCs w:val="32"/>
          <w:highlight w:val="none"/>
        </w:rPr>
        <w:t>加大教育、社会保障和就业等重点领域支出力度</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color w:val="000000" w:themeColor="text1"/>
          <w:kern w:val="0"/>
          <w:sz w:val="32"/>
          <w:szCs w:val="32"/>
          <w14:textFill>
            <w14:solidFill>
              <w14:schemeClr w14:val="tx1"/>
            </w14:solidFill>
          </w14:textFill>
        </w:rPr>
        <w:t>今年1至7月完成一般公共预算支出</w:t>
      </w:r>
      <w:r>
        <w:rPr>
          <w:rFonts w:ascii="Times New Roman" w:hAnsi="Times New Roman" w:eastAsia="仿宋_GB2312" w:cs="仿宋_GB2312"/>
          <w:color w:val="000000" w:themeColor="text1"/>
          <w:kern w:val="0"/>
          <w:sz w:val="32"/>
          <w:szCs w:val="32"/>
          <w14:textFill>
            <w14:solidFill>
              <w14:schemeClr w14:val="tx1"/>
            </w14:solidFill>
          </w14:textFill>
        </w:rPr>
        <w:t>1</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6</w:t>
      </w:r>
      <w:r>
        <w:rPr>
          <w:rFonts w:ascii="Times New Roman" w:hAnsi="Times New Roman" w:eastAsia="仿宋_GB2312" w:cs="仿宋_GB2312"/>
          <w:color w:val="000000" w:themeColor="text1"/>
          <w:kern w:val="0"/>
          <w:sz w:val="32"/>
          <w:szCs w:val="32"/>
          <w14:textFill>
            <w14:solidFill>
              <w14:schemeClr w14:val="tx1"/>
            </w14:solidFill>
          </w14:textFill>
        </w:rPr>
        <w:t>.9</w:t>
      </w:r>
      <w:r>
        <w:rPr>
          <w:rFonts w:hint="eastAsia" w:ascii="Times New Roman" w:hAnsi="Times New Roman" w:eastAsia="仿宋_GB2312" w:cs="仿宋_GB2312"/>
          <w:color w:val="000000" w:themeColor="text1"/>
          <w:kern w:val="0"/>
          <w:sz w:val="32"/>
          <w:szCs w:val="32"/>
          <w14:textFill>
            <w14:solidFill>
              <w14:schemeClr w14:val="tx1"/>
            </w14:solidFill>
          </w14:textFill>
        </w:rPr>
        <w:t>亿元，其中教育、科技、社会保障、卫生健康等领域支出占比</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接近</w:t>
      </w:r>
      <w:r>
        <w:rPr>
          <w:rFonts w:hint="eastAsia" w:ascii="Times New Roman" w:hAnsi="Times New Roman" w:eastAsia="仿宋_GB2312" w:cs="仿宋_GB2312"/>
          <w:color w:val="000000" w:themeColor="text1"/>
          <w:kern w:val="0"/>
          <w:sz w:val="32"/>
          <w:szCs w:val="32"/>
          <w14:textFill>
            <w14:solidFill>
              <w14:schemeClr w14:val="tx1"/>
            </w14:solidFill>
          </w14:textFill>
        </w:rPr>
        <w:t>80%，民计民生和产业高质量发展等相关支出得到有力保障。</w:t>
      </w:r>
      <w:r>
        <w:rPr>
          <w:rFonts w:hint="eastAsia" w:ascii="Times New Roman" w:hAnsi="Times New Roman" w:eastAsia="仿宋_GB2312" w:cs="Times New Roman"/>
          <w:snapToGrid/>
          <w:color w:val="000000" w:themeColor="text1"/>
          <w:kern w:val="2"/>
          <w:sz w:val="32"/>
          <w:szCs w:val="32"/>
          <w:highlight w:val="none"/>
          <w:lang w:val="en-US" w:eastAsia="zh-CN" w:bidi="ar-SA"/>
          <w14:textFill>
            <w14:solidFill>
              <w14:schemeClr w14:val="tx1"/>
            </w14:solidFill>
          </w14:textFill>
        </w:rPr>
        <w:t>其中，教育支出5.02亿元，同比增长25.6%，有效保障学校平稳运行；公共安全支出0.13亿元，同比增长104.7%，社会保障和就业支出0.92亿元，同比增长4.52%，强化民生保障，切实提高社会保障服务水平，为经济可持续发展提供稳定支撑；用足用好专项债资金支持，累计发行专项债券项目4个共1.1亿元，为国家绿色示范区中新天津生态城基础设施建设项目、中新天津生态城新能源产业园基础设施项目等区域重点项目建设提供有力资金保障。</w:t>
      </w:r>
    </w:p>
    <w:p w14:paraId="27E5C2C9">
      <w:pPr>
        <w:pStyle w:val="2"/>
        <w:spacing w:before="28" w:line="357" w:lineRule="auto"/>
        <w:ind w:left="23" w:right="68" w:firstLine="641"/>
        <w:jc w:val="both"/>
        <w:rPr>
          <w:rFonts w:hint="eastAsia" w:ascii="Times New Roman" w:hAnsi="Times New Roman" w:eastAsia="仿宋_GB2312" w:cs="仿宋_GB2312"/>
          <w:snapToGrid/>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snapToGrid/>
          <w:color w:val="000000" w:themeColor="text1"/>
          <w:kern w:val="2"/>
          <w:sz w:val="32"/>
          <w:szCs w:val="32"/>
          <w:highlight w:val="none"/>
          <w:lang w:val="en-US" w:eastAsia="zh-CN" w:bidi="ar-SA"/>
          <w14:textFill>
            <w14:solidFill>
              <w14:schemeClr w14:val="tx1"/>
            </w14:solidFill>
          </w14:textFill>
        </w:rPr>
        <w:t>三是筑牢安全发展底线，防范化解债务风险。</w:t>
      </w:r>
      <w:r>
        <w:rPr>
          <w:rFonts w:hint="eastAsia" w:ascii="Times New Roman" w:hAnsi="Times New Roman" w:eastAsia="仿宋_GB2312" w:cs="Times New Roman"/>
          <w:snapToGrid/>
          <w:color w:val="000000" w:themeColor="text1"/>
          <w:kern w:val="2"/>
          <w:sz w:val="32"/>
          <w:szCs w:val="32"/>
          <w:highlight w:val="none"/>
          <w:lang w:val="en-US" w:eastAsia="zh-CN" w:bidi="ar-SA"/>
          <w14:textFill>
            <w14:solidFill>
              <w14:schemeClr w14:val="tx1"/>
            </w14:solidFill>
          </w14:textFill>
        </w:rPr>
        <w:t>坚决防范债务风险，系统性推动落实化债任务。1-7月圆满完成各项债务化解分月任务，共偿还政府法定债务1.74亿元，通过安排财政资金、发行置换债券化解隐性债务本金6.12亿元</w:t>
      </w:r>
      <w:r>
        <w:rPr>
          <w:rFonts w:hint="eastAsia" w:ascii="Times New Roman" w:hAnsi="Times New Roman" w:eastAsia="仿宋_GB2312" w:cs="仿宋_GB2312"/>
          <w:snapToGrid/>
          <w:color w:val="000000" w:themeColor="text1"/>
          <w:kern w:val="0"/>
          <w:sz w:val="32"/>
          <w:szCs w:val="32"/>
          <w:highlight w:val="none"/>
          <w:lang w:val="en-US" w:eastAsia="zh-CN" w:bidi="ar-SA"/>
          <w14:textFill>
            <w14:solidFill>
              <w14:schemeClr w14:val="tx1"/>
            </w14:solidFill>
          </w14:textFill>
        </w:rPr>
        <w:t>；严格落实</w:t>
      </w:r>
      <w:bookmarkStart w:id="0" w:name="_GoBack"/>
      <w:r>
        <w:rPr>
          <w:rFonts w:hint="eastAsia" w:ascii="Times New Roman" w:hAnsi="Times New Roman" w:eastAsia="仿宋_GB2312" w:cs="仿宋_GB2312"/>
          <w:snapToGrid/>
          <w:color w:val="000000" w:themeColor="text1"/>
          <w:kern w:val="0"/>
          <w:sz w:val="32"/>
          <w:szCs w:val="32"/>
          <w:highlight w:val="none"/>
          <w:lang w:val="en-US" w:eastAsia="zh-CN" w:bidi="ar-SA"/>
          <w14:textFill>
            <w14:solidFill>
              <w14:schemeClr w14:val="tx1"/>
            </w14:solidFill>
          </w14:textFill>
        </w:rPr>
        <w:t>"</w:t>
      </w:r>
      <w:bookmarkEnd w:id="0"/>
      <w:r>
        <w:rPr>
          <w:rFonts w:hint="eastAsia" w:ascii="Times New Roman" w:hAnsi="Times New Roman" w:eastAsia="仿宋_GB2312" w:cs="仿宋_GB2312"/>
          <w:snapToGrid/>
          <w:color w:val="000000" w:themeColor="text1"/>
          <w:kern w:val="0"/>
          <w:sz w:val="32"/>
          <w:szCs w:val="32"/>
          <w:highlight w:val="none"/>
          <w:lang w:val="en-US" w:eastAsia="zh-CN" w:bidi="ar-SA"/>
          <w14:textFill>
            <w14:solidFill>
              <w14:schemeClr w14:val="tx1"/>
            </w14:solidFill>
          </w14:textFill>
        </w:rPr>
        <w:t>三保"支出优先序、库款拨付优先保障要求，优化预算执行全过程监控，确保"三保"底线万无一失。截至7月份，"三保"预算执行进度过半。</w:t>
      </w:r>
    </w:p>
    <w:p w14:paraId="3A6417FA">
      <w:pPr>
        <w:widowControl w:val="0"/>
        <w:kinsoku/>
        <w:autoSpaceDE/>
        <w:autoSpaceDN/>
        <w:adjustRightInd/>
        <w:snapToGrid/>
        <w:spacing w:line="360" w:lineRule="auto"/>
        <w:ind w:firstLine="640" w:firstLineChars="200"/>
        <w:jc w:val="both"/>
        <w:textAlignment w:val="auto"/>
        <w:rPr>
          <w:rFonts w:hint="eastAsia" w:ascii="Times New Roman" w:hAnsi="Times New Roman" w:eastAsia="黑体" w:cstheme="minorBidi"/>
          <w:snapToGrid/>
          <w:color w:val="000000" w:themeColor="text1"/>
          <w:kern w:val="2"/>
          <w:sz w:val="32"/>
          <w:szCs w:val="32"/>
          <w:lang w:eastAsia="zh-CN"/>
          <w14:textFill>
            <w14:solidFill>
              <w14:schemeClr w14:val="tx1"/>
            </w14:solidFill>
          </w14:textFill>
        </w:rPr>
      </w:pPr>
      <w:r>
        <w:rPr>
          <w:rFonts w:hint="eastAsia" w:ascii="Times New Roman" w:hAnsi="Times New Roman" w:eastAsia="黑体" w:cstheme="minorBidi"/>
          <w:snapToGrid/>
          <w:color w:val="000000" w:themeColor="text1"/>
          <w:kern w:val="2"/>
          <w:sz w:val="32"/>
          <w:szCs w:val="32"/>
          <w:lang w:eastAsia="zh-CN"/>
          <w14:textFill>
            <w14:solidFill>
              <w14:schemeClr w14:val="tx1"/>
            </w14:solidFill>
          </w14:textFill>
        </w:rPr>
        <w:t>三、下一步财政重点工作安排</w:t>
      </w:r>
    </w:p>
    <w:p w14:paraId="09FD1F81">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2025年上半年，中新天津生态城财政运行总体平稳，但仍面临结构性挑战：一方面，税收收入增速放缓，财政收入增长动能不足；另一方面，政府债务风险指标持续高位运行，财政收支平衡压力显著。为应对当前形势，生态城将重点推进组织收入调度，通过优化税源结构，多渠道拓宽财源；严控债务风险，确保债务率稳定在合理区间；提升财政效能，加强预算绩效管理，优先保障基本民生等重点领域支出，促进财政可持续发展。</w:t>
      </w:r>
    </w:p>
    <w:p w14:paraId="347DDA1D">
      <w:pPr>
        <w:spacing w:line="360" w:lineRule="auto"/>
        <w:ind w:firstLine="705"/>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（一）</w:t>
      </w:r>
      <w:r>
        <w:rPr>
          <w:rFonts w:hint="eastAsia" w:ascii="楷体_GB2312" w:hAnsi="Times New Roman" w:eastAsia="楷体_GB2312" w:cs="Times New Roman"/>
          <w:b/>
          <w:snapToGrid w:val="0"/>
          <w:color w:val="000000" w:themeColor="text1"/>
          <w:spacing w:val="8"/>
          <w:kern w:val="0"/>
          <w:sz w:val="32"/>
          <w:szCs w:val="32"/>
          <w:highlight w:val="none"/>
          <w:lang w:val="en-US" w:eastAsia="zh-CN"/>
          <w14:textFill>
            <w14:solidFill>
              <w14:schemeClr w14:val="tx1"/>
            </w14:solidFill>
          </w14:textFill>
        </w:rPr>
        <w:t>涵养</w:t>
      </w: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财源</w:t>
      </w:r>
      <w:r>
        <w:rPr>
          <w:rFonts w:hint="eastAsia" w:ascii="楷体_GB2312" w:hAnsi="Times New Roman" w:eastAsia="楷体_GB2312" w:cs="Times New Roman"/>
          <w:b/>
          <w:snapToGrid w:val="0"/>
          <w:color w:val="000000" w:themeColor="text1"/>
          <w:spacing w:val="8"/>
          <w:kern w:val="0"/>
          <w:sz w:val="32"/>
          <w:szCs w:val="32"/>
          <w:highlight w:val="none"/>
          <w:lang w:val="en-US" w:eastAsia="zh-CN"/>
          <w14:textFill>
            <w14:solidFill>
              <w14:schemeClr w14:val="tx1"/>
            </w14:solidFill>
          </w14:textFill>
        </w:rPr>
        <w:t>税源</w:t>
      </w: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，构建收入持续增长长效机制</w:t>
      </w:r>
    </w:p>
    <w:p w14:paraId="5B6D0A5E">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一是持续深化税源建设机制作用。通过建立常态化走访服务机制，实施"一企一策"精准服务；优化税收征管体系，推进智慧税务建设，提升征管效能；推进土地资源高效配置，提高土地开发利用效益，培育可持续财源增长点，夯实财政收入基础，为区域经济社会发展提供稳定的财力支撑。二是加快推进资产资源盘活。健全激励约束与容错免责双轮驱动机制，深化国有企业资产整合与运营效率提升，切实提高国有资产使用效益和变现能力，为债务风险化解创造有利条件。三是创新城市运营项目管理模式。探索市场化、可持续的运营路径，优化费用结算机制，合理控制财政补贴规模，实施重点项目财力优先保障机制，确保重大战略部署落地见效。</w:t>
      </w:r>
    </w:p>
    <w:p w14:paraId="2BB368FD">
      <w:pPr>
        <w:numPr>
          <w:ilvl w:val="0"/>
          <w:numId w:val="2"/>
        </w:numPr>
        <w:spacing w:before="2" w:line="292" w:lineRule="auto"/>
        <w:ind w:left="29" w:right="85" w:firstLine="666"/>
        <w:outlineLvl w:val="0"/>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highlight w:val="none"/>
          <w:lang w:val="en-US" w:eastAsia="zh-CN"/>
          <w14:textFill>
            <w14:solidFill>
              <w14:schemeClr w14:val="tx1"/>
            </w14:solidFill>
          </w14:textFill>
        </w:rPr>
        <w:t>培育高质量发展新动能</w:t>
      </w: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，保障财政平稳运行</w:t>
      </w:r>
    </w:p>
    <w:p w14:paraId="5536BA6E">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一是强化产业升级支撑，加快培育新质生产力。统筹用好中央京津冀协同发展专项转移支付、市级高质量发展专项资金，以及智能制造、科技研发等专项扶持政策，重点保障央企总部运营需求，加速产业转型升级，培育壮大生态城绿色低碳产业集群。二是完善城市功能建设，推动重大项目提速增效。加强专项债券、超长期特别国债项目的谋划储备工作，为重大基础设施及民生工程项目提供资金支持，同步完善教育医疗、养老托幼等公共服务配套，切实提升居民生活</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保障</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w:t>
      </w:r>
    </w:p>
    <w:p w14:paraId="634EDB6E">
      <w:pPr>
        <w:widowControl w:val="0"/>
        <w:kinsoku/>
        <w:autoSpaceDE/>
        <w:autoSpaceDN/>
        <w:adjustRightInd/>
        <w:snapToGrid/>
        <w:spacing w:line="360" w:lineRule="auto"/>
        <w:ind w:firstLine="705"/>
        <w:jc w:val="both"/>
        <w:textAlignment w:val="auto"/>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（三）</w:t>
      </w:r>
      <w:r>
        <w:rPr>
          <w:rFonts w:hint="eastAsia" w:ascii="楷体_GB2312" w:hAnsi="Times New Roman" w:eastAsia="楷体_GB2312" w:cs="Times New Roman"/>
          <w:b/>
          <w:snapToGrid w:val="0"/>
          <w:color w:val="000000" w:themeColor="text1"/>
          <w:spacing w:val="8"/>
          <w:kern w:val="0"/>
          <w:sz w:val="32"/>
          <w:szCs w:val="32"/>
          <w:highlight w:val="none"/>
          <w:lang w:val="en-US" w:eastAsia="zh-CN"/>
          <w14:textFill>
            <w14:solidFill>
              <w14:schemeClr w14:val="tx1"/>
            </w14:solidFill>
          </w14:textFill>
        </w:rPr>
        <w:t>筑牢债务风险防线</w:t>
      </w: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，切实加强政府债务管理</w:t>
      </w:r>
    </w:p>
    <w:p w14:paraId="6B0D1A72">
      <w:pPr>
        <w:widowControl w:val="0"/>
        <w:kinsoku/>
        <w:autoSpaceDE/>
        <w:autoSpaceDN/>
        <w:adjustRightInd/>
        <w:snapToGrid/>
        <w:spacing w:line="360" w:lineRule="auto"/>
        <w:ind w:firstLine="705"/>
        <w:jc w:val="both"/>
        <w:textAlignment w:val="auto"/>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pP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一是</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构建全链条、多维度的债务风险防控体系。牢固树立风险意识和底线思维，建立健全债务风险评估预警机制，完善风险应急处置预案，</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牢牢</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守住</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债务</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风险的底线。</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二是</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严格执行地方政府债务预算管理制度，将一般债务、专项债务等各类债务分类纳入全口径预算管理，实现预算编制、执行、监督的全过程闭环管理。在用足用好新增债券资金方面，要科学规划资金投向，优先保障重点领域和重大项目，加快债券资金支出进度，优化审批流程，强化部门协同，确保资金及时拨付、项目加快建设，尽快形成实物工作量。</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四是</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建立健全政府债务资金绩效评价体系，实施债务项目全生命周期绩效管理，加强债务资金使用和项目实施情况的动态监控，完善债务风险防控长效机制，强化部门协同监管，压实各方责任，形成工作合力，切实提升财政可持续发展和风险防控能力。</w:t>
      </w:r>
    </w:p>
    <w:p w14:paraId="46853508">
      <w:pPr>
        <w:widowControl w:val="0"/>
        <w:kinsoku/>
        <w:autoSpaceDE/>
        <w:autoSpaceDN/>
        <w:adjustRightInd/>
        <w:snapToGrid/>
        <w:spacing w:line="360" w:lineRule="auto"/>
        <w:ind w:firstLine="705"/>
        <w:jc w:val="both"/>
        <w:textAlignment w:val="auto"/>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pP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（四）</w:t>
      </w:r>
      <w:r>
        <w:rPr>
          <w:rFonts w:hint="eastAsia" w:ascii="楷体_GB2312" w:hAnsi="Times New Roman" w:eastAsia="楷体_GB2312" w:cs="Times New Roman"/>
          <w:b/>
          <w:snapToGrid w:val="0"/>
          <w:color w:val="000000" w:themeColor="text1"/>
          <w:spacing w:val="8"/>
          <w:kern w:val="0"/>
          <w:sz w:val="32"/>
          <w:szCs w:val="32"/>
          <w:highlight w:val="none"/>
          <w:lang w:val="en-US" w:eastAsia="zh-CN"/>
          <w14:textFill>
            <w14:solidFill>
              <w14:schemeClr w14:val="tx1"/>
            </w14:solidFill>
          </w14:textFill>
        </w:rPr>
        <w:t>严明财政纪律刚性要求</w:t>
      </w:r>
      <w:r>
        <w:rPr>
          <w:rFonts w:hint="eastAsia" w:ascii="Times New Roman" w:hAnsi="Times New Roman" w:eastAsia="仿宋_GB2312" w:cs="Times New Roman"/>
          <w:b/>
          <w:bCs/>
          <w:snapToGrid w:val="0"/>
          <w:color w:val="000000" w:themeColor="text1"/>
          <w:spacing w:val="8"/>
          <w:kern w:val="0"/>
          <w:sz w:val="32"/>
          <w:szCs w:val="32"/>
          <w:highlight w:val="none"/>
          <w:lang w:eastAsia="zh-CN"/>
          <w14:textFill>
            <w14:solidFill>
              <w14:schemeClr w14:val="tx1"/>
            </w14:solidFill>
          </w14:textFill>
        </w:rPr>
        <w:t>，</w:t>
      </w:r>
      <w:r>
        <w:rPr>
          <w:rFonts w:hint="eastAsia" w:ascii="楷体_GB2312" w:hAnsi="Times New Roman" w:eastAsia="楷体_GB2312" w:cs="Times New Roman"/>
          <w:b/>
          <w:snapToGrid w:val="0"/>
          <w:color w:val="000000" w:themeColor="text1"/>
          <w:spacing w:val="8"/>
          <w:kern w:val="0"/>
          <w:sz w:val="32"/>
          <w:szCs w:val="32"/>
          <w:highlight w:val="none"/>
          <w:lang w:eastAsia="zh-CN"/>
          <w14:textFill>
            <w14:solidFill>
              <w14:schemeClr w14:val="tx1"/>
            </w14:solidFill>
          </w14:textFill>
        </w:rPr>
        <w:t>夯实财政管理基础</w:t>
      </w:r>
    </w:p>
    <w:p w14:paraId="50352A5E">
      <w:pPr>
        <w:widowControl w:val="0"/>
        <w:kinsoku/>
        <w:autoSpaceDE/>
        <w:autoSpaceDN/>
        <w:adjustRightInd/>
        <w:snapToGrid/>
        <w:spacing w:line="360" w:lineRule="auto"/>
        <w:ind w:firstLine="705"/>
        <w:jc w:val="both"/>
        <w:textAlignment w:val="auto"/>
        <w:rPr>
          <w:rFonts w:hint="eastAsia" w:ascii="Times New Roman" w:hAnsi="Times New Roman" w:eastAsia="仿宋_GB2312" w:cs="方正小标宋简体"/>
          <w:bCs/>
          <w:sz w:val="32"/>
          <w:szCs w:val="32"/>
          <w:lang w:eastAsia="zh-CN"/>
        </w:rPr>
      </w:pPr>
      <w:r>
        <w:rPr>
          <w:rFonts w:hint="eastAsia" w:ascii="Times New Roman" w:hAnsi="Times New Roman" w:eastAsia="仿宋_GB2312" w:cs="方正小标宋简体"/>
          <w:bCs/>
          <w:sz w:val="32"/>
          <w:szCs w:val="32"/>
          <w:highlight w:val="none"/>
          <w:lang w:val="en-US" w:eastAsia="zh-CN"/>
        </w:rPr>
        <w:t>一是</w:t>
      </w:r>
      <w:r>
        <w:rPr>
          <w:rFonts w:hint="eastAsia" w:ascii="Times New Roman" w:hAnsi="Times New Roman" w:eastAsia="仿宋_GB2312" w:cs="方正小标宋简体"/>
          <w:bCs/>
          <w:sz w:val="32"/>
          <w:szCs w:val="32"/>
          <w:highlight w:val="none"/>
          <w:lang w:eastAsia="zh-CN"/>
        </w:rPr>
        <w:t>深入贯彻落实上级财政部门决策部署，</w:t>
      </w:r>
      <w:r>
        <w:rPr>
          <w:rFonts w:hint="eastAsia" w:ascii="Times New Roman" w:hAnsi="Times New Roman" w:eastAsia="仿宋_GB2312" w:cs="方正小标宋简体"/>
          <w:bCs/>
          <w:sz w:val="32"/>
          <w:szCs w:val="32"/>
          <w:lang w:eastAsia="zh-CN"/>
        </w:rPr>
        <w:t>深化财会监督体系建设，以"提质增效"为目标导向，</w:t>
      </w:r>
      <w:r>
        <w:rPr>
          <w:rFonts w:hint="eastAsia" w:ascii="Times New Roman" w:hAnsi="Times New Roman" w:eastAsia="仿宋_GB2312" w:cs="方正小标宋简体"/>
          <w:bCs/>
          <w:sz w:val="32"/>
          <w:szCs w:val="32"/>
          <w:highlight w:val="none"/>
          <w:lang w:eastAsia="zh-CN"/>
        </w:rPr>
        <w:t>系统构建"三位一体"财会监督体系。重点强化政府债务管理、财政运行监测、"三保"支出保障等关键领域，</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强化财会监督和各类监督贯通协调，</w:t>
      </w:r>
      <w:r>
        <w:rPr>
          <w:rFonts w:hint="eastAsia" w:ascii="Times New Roman" w:hAnsi="Times New Roman" w:eastAsia="仿宋_GB2312" w:cs="方正小标宋简体"/>
          <w:bCs/>
          <w:sz w:val="32"/>
          <w:szCs w:val="32"/>
          <w:highlight w:val="none"/>
          <w:lang w:eastAsia="zh-CN"/>
        </w:rPr>
        <w:t>建立健全信息互通、成果</w:t>
      </w:r>
      <w:r>
        <w:rPr>
          <w:rFonts w:hint="eastAsia" w:ascii="Times New Roman" w:hAnsi="Times New Roman" w:eastAsia="仿宋_GB2312" w:cs="方正小标宋简体"/>
          <w:bCs/>
          <w:sz w:val="32"/>
          <w:szCs w:val="32"/>
          <w:highlight w:val="none"/>
          <w:lang w:val="en-US" w:eastAsia="zh-CN"/>
        </w:rPr>
        <w:t>共用</w:t>
      </w:r>
      <w:r>
        <w:rPr>
          <w:rFonts w:hint="eastAsia" w:ascii="Times New Roman" w:hAnsi="Times New Roman" w:eastAsia="仿宋_GB2312" w:cs="方正小标宋简体"/>
          <w:bCs/>
          <w:sz w:val="32"/>
          <w:szCs w:val="32"/>
          <w:highlight w:val="none"/>
          <w:lang w:eastAsia="zh-CN"/>
        </w:rPr>
        <w:t>机制，</w:t>
      </w:r>
      <w:r>
        <w:rPr>
          <w:rFonts w:hint="eastAsia" w:ascii="Times New Roman" w:hAnsi="Times New Roman" w:eastAsia="仿宋_GB2312" w:cs="方正小标宋简体"/>
          <w:bCs/>
          <w:sz w:val="32"/>
          <w:szCs w:val="32"/>
          <w:lang w:eastAsia="zh-CN"/>
        </w:rPr>
        <w:t>切实筑牢财经纪律防线</w:t>
      </w:r>
      <w:r>
        <w:rPr>
          <w:rFonts w:hint="eastAsia" w:ascii="Times New Roman" w:hAnsi="Times New Roman" w:eastAsia="仿宋_GB2312" w:cs="方正小标宋简体"/>
          <w:bCs/>
          <w:sz w:val="32"/>
          <w:szCs w:val="32"/>
          <w:highlight w:val="none"/>
          <w:lang w:eastAsia="zh-CN"/>
        </w:rPr>
        <w:t>。</w:t>
      </w:r>
      <w:r>
        <w:rPr>
          <w:rFonts w:hint="eastAsia" w:ascii="Times New Roman" w:hAnsi="Times New Roman" w:eastAsia="仿宋_GB2312" w:cs="方正小标宋简体"/>
          <w:bCs/>
          <w:sz w:val="32"/>
          <w:szCs w:val="32"/>
          <w:highlight w:val="none"/>
          <w:lang w:val="en-US" w:eastAsia="zh-CN"/>
        </w:rPr>
        <w:t>二是</w:t>
      </w:r>
      <w:r>
        <w:rPr>
          <w:rFonts w:hint="eastAsia" w:ascii="Times New Roman" w:hAnsi="Times New Roman" w:eastAsia="仿宋_GB2312" w:cs="方正小标宋简体"/>
          <w:bCs/>
          <w:sz w:val="32"/>
          <w:szCs w:val="32"/>
          <w:highlight w:val="none"/>
          <w:lang w:eastAsia="zh-CN"/>
        </w:rPr>
        <w:t>严格执行预算刚性约束机制。牢固树立"花钱必问效、无效必问责"的绩效理念，将绩效管理深度</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嵌入</w:t>
      </w:r>
      <w:r>
        <w:rPr>
          <w:rFonts w:hint="eastAsia" w:ascii="Times New Roman" w:hAnsi="Times New Roman" w:eastAsia="仿宋_GB2312" w:cs="方正小标宋简体"/>
          <w:bCs/>
          <w:sz w:val="32"/>
          <w:szCs w:val="32"/>
          <w:highlight w:val="none"/>
          <w:lang w:eastAsia="zh-CN"/>
        </w:rPr>
        <w:t>预算管理全过程，</w:t>
      </w:r>
      <w:r>
        <w:rPr>
          <w:rFonts w:hint="eastAsia" w:ascii="Times New Roman" w:hAnsi="Times New Roman" w:eastAsia="仿宋_GB2312" w:cs="方正小标宋简体"/>
          <w:bCs/>
          <w:sz w:val="32"/>
          <w:szCs w:val="32"/>
          <w:lang w:eastAsia="zh-CN"/>
        </w:rPr>
        <w:t>依托信息化手段实施预算执行动态监测，对执行偏差项目及时预警纠偏，重点整治资金沉淀、支出进度滞后等问题，</w:t>
      </w:r>
      <w:r>
        <w:rPr>
          <w:rFonts w:hint="eastAsia" w:ascii="Times New Roman" w:hAnsi="Times New Roman" w:eastAsia="仿宋_GB2312" w:cs="方正小标宋简体"/>
          <w:bCs/>
          <w:sz w:val="32"/>
          <w:szCs w:val="32"/>
          <w:lang w:val="en-US" w:eastAsia="zh-CN"/>
        </w:rPr>
        <w:t>提高</w:t>
      </w:r>
      <w:r>
        <w:rPr>
          <w:rFonts w:hint="eastAsia" w:ascii="Times New Roman" w:hAnsi="Times New Roman" w:eastAsia="仿宋_GB2312" w:cs="方正小标宋简体"/>
          <w:bCs/>
          <w:sz w:val="32"/>
          <w:szCs w:val="32"/>
          <w:lang w:eastAsia="zh-CN"/>
        </w:rPr>
        <w:t>财政资源配置效率和资金使用效益。</w:t>
      </w:r>
    </w:p>
    <w:p w14:paraId="218C74EA">
      <w:pPr>
        <w:widowControl w:val="0"/>
        <w:kinsoku/>
        <w:autoSpaceDE/>
        <w:autoSpaceDN/>
        <w:adjustRightInd/>
        <w:snapToGrid/>
        <w:spacing w:line="360" w:lineRule="auto"/>
        <w:ind w:firstLine="705"/>
        <w:jc w:val="both"/>
        <w:textAlignment w:val="auto"/>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2025</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年是全面贯彻落实党的二十大精神的关键之年，是实</w:t>
      </w:r>
      <w:r>
        <w:rPr>
          <w:rFonts w:hint="default"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施“十四五”规划的</w:t>
      </w:r>
      <w:r>
        <w:rPr>
          <w:rFonts w:hint="eastAsia" w:ascii="Times New Roman" w:hAnsi="Times New Roman" w:eastAsia="仿宋_GB2312" w:cs="Times New Roman"/>
          <w:snapToGrid w:val="0"/>
          <w:color w:val="000000" w:themeColor="text1"/>
          <w:spacing w:val="8"/>
          <w:kern w:val="0"/>
          <w:sz w:val="32"/>
          <w:szCs w:val="32"/>
          <w:highlight w:val="none"/>
          <w:lang w:val="en-US" w:eastAsia="zh-CN"/>
          <w14:textFill>
            <w14:solidFill>
              <w14:schemeClr w14:val="tx1"/>
            </w14:solidFill>
          </w14:textFill>
        </w:rPr>
        <w:t>决胜</w:t>
      </w:r>
      <w:r>
        <w:rPr>
          <w:rFonts w:hint="default"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之年，</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是全面建设社会主义现代化国家新征程的重要节点，</w:t>
      </w:r>
      <w:r>
        <w:rPr>
          <w:rFonts w:hint="default"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也是高标准打造国家绿色发展示范区升级版的开局之年。</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在今后的工作中，我们将更加紧密地团结在以习近平同志为核心的党中央周围，以习近平新时代中国特色社会主义思想为指导，认真落实市委、市政府和区委决策部署，按照区人大有关决议，</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勠力同心</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笃行不怠</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赓续奋进，</w:t>
      </w:r>
      <w:r>
        <w:rPr>
          <w:rFonts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积极发挥财政职能作用，</w:t>
      </w:r>
      <w:r>
        <w:rPr>
          <w:rFonts w:hint="eastAsia" w:ascii="Times New Roman" w:hAnsi="Times New Roman" w:eastAsia="仿宋_GB2312" w:cs="Times New Roman"/>
          <w:snapToGrid w:val="0"/>
          <w:color w:val="000000" w:themeColor="text1"/>
          <w:spacing w:val="8"/>
          <w:kern w:val="0"/>
          <w:sz w:val="32"/>
          <w:szCs w:val="32"/>
          <w:highlight w:val="none"/>
          <w:lang w:eastAsia="zh-CN"/>
          <w14:textFill>
            <w14:solidFill>
              <w14:schemeClr w14:val="tx1"/>
            </w14:solidFill>
          </w14:textFill>
        </w:rPr>
        <w:t>为高质量建设"五美融合"现代化新型城市提供坚实保障。</w:t>
      </w:r>
    </w:p>
    <w:sectPr>
      <w:footerReference r:id="rId5" w:type="default"/>
      <w:pgSz w:w="11907" w:h="16839"/>
      <w:pgMar w:top="2098" w:right="1474" w:bottom="1984" w:left="1588" w:header="0" w:footer="11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602284-2AD3-44D1-9293-F42ED0EEE8D2}"/>
  </w:font>
  <w:font w:name="黑体">
    <w:panose1 w:val="02010609060101010101"/>
    <w:charset w:val="86"/>
    <w:family w:val="auto"/>
    <w:pitch w:val="default"/>
    <w:sig w:usb0="800002BF" w:usb1="38CF7CFA" w:usb2="00000016" w:usb3="00000000" w:csb0="00040001" w:csb1="00000000"/>
    <w:embedRegular r:id="rId2" w:fontKey="{C779C915-70BC-4931-B62A-3E91A2F191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53FE8F00-63C3-4513-9038-3C4B758E97CF}"/>
  </w:font>
  <w:font w:name="仿宋_GB2312">
    <w:altName w:val="仿宋"/>
    <w:panose1 w:val="02010609030101010101"/>
    <w:charset w:val="86"/>
    <w:family w:val="modern"/>
    <w:pitch w:val="default"/>
    <w:sig w:usb0="00000000" w:usb1="00000000" w:usb2="00000010" w:usb3="00000000" w:csb0="00040000" w:csb1="00000000"/>
    <w:embedRegular r:id="rId4" w:fontKey="{B6B11977-8B41-4634-A7B0-7F90D11E618A}"/>
  </w:font>
  <w:font w:name="楷体_GB2312">
    <w:altName w:val="楷体"/>
    <w:panose1 w:val="02010609030101010101"/>
    <w:charset w:val="86"/>
    <w:family w:val="modern"/>
    <w:pitch w:val="default"/>
    <w:sig w:usb0="00000000" w:usb1="00000000" w:usb2="00000010" w:usb3="00000000" w:csb0="00040000" w:csb1="00000000"/>
    <w:embedRegular r:id="rId5" w:fontKey="{414F5C2A-0087-403E-841B-4E9A2344A276}"/>
  </w:font>
  <w:font w:name="楷体">
    <w:panose1 w:val="02010609060101010101"/>
    <w:charset w:val="86"/>
    <w:family w:val="auto"/>
    <w:pitch w:val="default"/>
    <w:sig w:usb0="800002BF" w:usb1="38CF7CFA" w:usb2="00000016" w:usb3="00000000" w:csb0="00040001" w:csb1="00000000"/>
    <w:embedRegular r:id="rId6" w:fontKey="{BB178562-825F-4F51-8C94-3093ACED1B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8A2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7519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17519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E12C2"/>
    <w:multiLevelType w:val="singleLevel"/>
    <w:tmpl w:val="92DE12C2"/>
    <w:lvl w:ilvl="0" w:tentative="0">
      <w:start w:val="2"/>
      <w:numFmt w:val="chineseCounting"/>
      <w:suff w:val="nothing"/>
      <w:lvlText w:val="（%1）"/>
      <w:lvlJc w:val="left"/>
      <w:rPr>
        <w:rFonts w:hint="eastAsia"/>
      </w:rPr>
    </w:lvl>
  </w:abstractNum>
  <w:abstractNum w:abstractNumId="1">
    <w:nsid w:val="4853EBDD"/>
    <w:multiLevelType w:val="singleLevel"/>
    <w:tmpl w:val="4853EBDD"/>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EB2968"/>
    <w:rsid w:val="12955E7E"/>
    <w:rsid w:val="16580435"/>
    <w:rsid w:val="1689612A"/>
    <w:rsid w:val="190B4AAB"/>
    <w:rsid w:val="1A343312"/>
    <w:rsid w:val="23F76998"/>
    <w:rsid w:val="24C534EE"/>
    <w:rsid w:val="25290DD3"/>
    <w:rsid w:val="2C2B501E"/>
    <w:rsid w:val="2EEC3F03"/>
    <w:rsid w:val="30E95CA7"/>
    <w:rsid w:val="337E08C4"/>
    <w:rsid w:val="35332183"/>
    <w:rsid w:val="35463620"/>
    <w:rsid w:val="3AEA1D54"/>
    <w:rsid w:val="3BF511EF"/>
    <w:rsid w:val="3C263A72"/>
    <w:rsid w:val="3C685DE4"/>
    <w:rsid w:val="3F304A3E"/>
    <w:rsid w:val="46731A57"/>
    <w:rsid w:val="48435459"/>
    <w:rsid w:val="4A9220C8"/>
    <w:rsid w:val="4E3A0E27"/>
    <w:rsid w:val="4E3F420A"/>
    <w:rsid w:val="51485899"/>
    <w:rsid w:val="51A5048C"/>
    <w:rsid w:val="530F1930"/>
    <w:rsid w:val="55FB7CF2"/>
    <w:rsid w:val="57272CDB"/>
    <w:rsid w:val="58070251"/>
    <w:rsid w:val="58EE6D3C"/>
    <w:rsid w:val="5A623E64"/>
    <w:rsid w:val="5B823A64"/>
    <w:rsid w:val="6CE4463F"/>
    <w:rsid w:val="6FBD1E71"/>
    <w:rsid w:val="704A2F79"/>
    <w:rsid w:val="730613D9"/>
    <w:rsid w:val="76B074FE"/>
    <w:rsid w:val="79C142AC"/>
    <w:rsid w:val="7B742FFF"/>
    <w:rsid w:val="7D1C6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4275</Words>
  <Characters>4823</Characters>
  <TotalTime>39</TotalTime>
  <ScaleCrop>false</ScaleCrop>
  <LinksUpToDate>false</LinksUpToDate>
  <CharactersWithSpaces>4823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2024-09-12T10:49:00Z</dcterms:created>
  <dc:creator>万雅琪</dc:creator>
  <cp:lastModifiedBy>董方既白</cp:lastModifiedBy>
  <dcterms:modified xsi:type="dcterms:W3CDTF">2025-09-24T09:04:29Z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2025-07-03T10:17:46Z</vt:filetime>
  </property>
  <property fmtid="{D5CDD505-2E9C-101B-9397-08002B2CF9AE}" pid="4" name="KSOProductBuildVer">
    <vt:lpwstr>2052-12.1.0.22529</vt:lpwstr>
  </property>
  <property fmtid="{D5CDD505-2E9C-101B-9397-08002B2CF9AE}" pid="5" name="ICV">
    <vt:lpwstr>8E7DC7475E5D4BF6951DEE7E1D8337D8_13</vt:lpwstr>
  </property>
  <property fmtid="{D5CDD505-2E9C-101B-9397-08002B2CF9AE}" pid="6" name="KSOTemplateDocerSaveRecord">
    <vt:lpwstr>eyJoZGlkIjoiZGM4OTU1MTkxYzQwZjZkMTM5NDg2NjM1MjllOGFkZTMiLCJ1c2VySWQiOiI1NTQ2MjMzODEifQ==</vt:lpwstr>
  </property>
</Properties>
</file>