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cs="宋体"/>
          <w:color w:val="000000"/>
          <w:kern w:val="0"/>
          <w:sz w:val="36"/>
          <w:szCs w:val="36"/>
        </w:rPr>
      </w:pPr>
      <w:r>
        <w:rPr>
          <w:rFonts w:hint="eastAsia" w:ascii="黑体" w:hAnsi="宋体" w:eastAsia="黑体" w:cs="宋体"/>
          <w:color w:val="000000"/>
          <w:kern w:val="0"/>
          <w:sz w:val="36"/>
          <w:szCs w:val="36"/>
        </w:rPr>
        <w:t>中新天津生态城住宅装修管理暂行规定</w:t>
      </w:r>
    </w:p>
    <w:p>
      <w:pPr>
        <w:jc w:val="center"/>
        <w:rPr>
          <w:rFonts w:hint="eastAsia" w:ascii="仿宋" w:hAnsi="仿宋" w:eastAsia="仿宋" w:cs="宋体"/>
          <w:kern w:val="0"/>
          <w:sz w:val="32"/>
          <w:szCs w:val="32"/>
        </w:rPr>
      </w:pPr>
    </w:p>
    <w:p>
      <w:pPr>
        <w:numPr>
          <w:ilvl w:val="0"/>
          <w:numId w:val="1"/>
        </w:numPr>
        <w:spacing w:after="312" w:afterLines="100"/>
        <w:ind w:left="1276" w:hanging="1276"/>
        <w:jc w:val="center"/>
        <w:rPr>
          <w:rFonts w:hint="eastAsia" w:ascii="黑体" w:hAnsi="仿宋" w:eastAsia="黑体" w:cs="宋体"/>
          <w:kern w:val="0"/>
          <w:sz w:val="32"/>
          <w:szCs w:val="32"/>
        </w:rPr>
      </w:pPr>
      <w:r>
        <w:rPr>
          <w:rFonts w:hint="eastAsia" w:ascii="黑体" w:hAnsi="仿宋" w:eastAsia="黑体" w:cs="宋体"/>
          <w:kern w:val="0"/>
          <w:sz w:val="32"/>
          <w:szCs w:val="32"/>
        </w:rPr>
        <w:t>总 则</w:t>
      </w:r>
    </w:p>
    <w:p>
      <w:pPr>
        <w:numPr>
          <w:ilvl w:val="0"/>
          <w:numId w:val="2"/>
        </w:numPr>
        <w:ind w:left="0" w:firstLine="720" w:firstLineChars="225"/>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为落实中新天津生态城（以下简称生态城）100%绿色建筑的建设目标，规范生态城的</w:t>
      </w:r>
      <w:bookmarkStart w:id="0" w:name="_GoBack"/>
      <w:bookmarkEnd w:id="0"/>
      <w:r>
        <w:rPr>
          <w:rFonts w:hint="eastAsia" w:ascii="仿宋_GB2312" w:hAnsi="仿宋" w:eastAsia="仿宋_GB2312" w:cs="宋体"/>
          <w:kern w:val="0"/>
          <w:sz w:val="32"/>
          <w:szCs w:val="32"/>
        </w:rPr>
        <w:t>住宅装修活动，根据有关法律法规和生态城相关管理规定，结合实际情况，制定本规定。</w:t>
      </w:r>
    </w:p>
    <w:p>
      <w:pPr>
        <w:numPr>
          <w:ilvl w:val="0"/>
          <w:numId w:val="2"/>
        </w:numPr>
        <w:ind w:left="0" w:firstLine="720" w:firstLineChars="225"/>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生态城范围内新建、改建和扩建的主体楼层数在4层以上（含4层）的住宅（包括公寓、公屋等），其室内装修工程的设计、施工、监理、使用和管理等活动，应遵守本规定。</w:t>
      </w:r>
    </w:p>
    <w:p>
      <w:pPr>
        <w:numPr>
          <w:ilvl w:val="0"/>
          <w:numId w:val="2"/>
        </w:numPr>
        <w:ind w:left="0" w:firstLine="720" w:firstLineChars="225"/>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生态城的住宅实行全装修销售制度。住宅装修工程应与土建工程一体化设计、施工，做到全过程控制、各专业协同、规模化管理，并由开发企业对业主负责。</w:t>
      </w:r>
    </w:p>
    <w:p>
      <w:pPr>
        <w:numPr>
          <w:ilvl w:val="0"/>
          <w:numId w:val="2"/>
        </w:numPr>
        <w:ind w:left="0" w:firstLine="720" w:firstLineChars="225"/>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中新天津生态城管理委员会（以下简称管委会）建设行政主管部门，对住宅装修工程的设计、施工、监理、验收、检测等活动进行统一监管，并积极引导和推广节能环保材料和技术的应用。</w:t>
      </w:r>
    </w:p>
    <w:p>
      <w:pPr>
        <w:numPr>
          <w:ilvl w:val="0"/>
          <w:numId w:val="1"/>
        </w:numPr>
        <w:spacing w:before="312" w:beforeLines="100" w:after="312" w:afterLines="100"/>
        <w:ind w:left="1276" w:hanging="1276"/>
        <w:jc w:val="center"/>
        <w:rPr>
          <w:rFonts w:hint="eastAsia" w:ascii="黑体" w:hAnsi="仿宋" w:eastAsia="黑体" w:cs="宋体"/>
          <w:kern w:val="0"/>
          <w:sz w:val="32"/>
          <w:szCs w:val="32"/>
        </w:rPr>
      </w:pPr>
      <w:r>
        <w:rPr>
          <w:rFonts w:hint="eastAsia" w:ascii="仿宋_GB2312" w:hAnsi="仿宋" w:eastAsia="仿宋_GB2312" w:cs="宋体"/>
          <w:kern w:val="0"/>
          <w:sz w:val="32"/>
          <w:szCs w:val="32"/>
        </w:rPr>
        <w:t>　</w:t>
      </w:r>
      <w:r>
        <w:rPr>
          <w:rFonts w:hint="eastAsia" w:ascii="黑体" w:hAnsi="仿宋" w:eastAsia="黑体" w:cs="宋体"/>
          <w:kern w:val="0"/>
          <w:sz w:val="32"/>
          <w:szCs w:val="32"/>
        </w:rPr>
        <w:t>装修要求</w:t>
      </w:r>
    </w:p>
    <w:p>
      <w:pPr>
        <w:numPr>
          <w:ilvl w:val="0"/>
          <w:numId w:val="2"/>
        </w:numPr>
        <w:ind w:left="0" w:firstLine="720" w:firstLineChars="225"/>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住宅装修工程应达到以下基本要求：</w:t>
      </w:r>
    </w:p>
    <w:p>
      <w:pPr>
        <w:ind w:firstLine="640" w:firstLineChars="200"/>
        <w:rPr>
          <w:rFonts w:hint="eastAsia" w:ascii="仿宋_GB2312" w:hAnsi="Arial" w:eastAsia="仿宋_GB2312" w:cs="Arial"/>
          <w:color w:val="FF0000"/>
          <w:sz w:val="32"/>
          <w:szCs w:val="32"/>
        </w:rPr>
      </w:pPr>
      <w:r>
        <w:rPr>
          <w:rFonts w:hint="eastAsia" w:ascii="仿宋_GB2312" w:hAnsi="仿宋" w:eastAsia="仿宋_GB2312" w:cs="宋体"/>
          <w:kern w:val="0"/>
          <w:sz w:val="32"/>
          <w:szCs w:val="32"/>
        </w:rPr>
        <w:t>（一）墙面、顶面、地面完成装饰面层铺装（含阳台、露台）</w:t>
      </w:r>
    </w:p>
    <w:p>
      <w:pPr>
        <w:ind w:left="-8" w:leftChars="-4" w:firstLine="627" w:firstLineChars="196"/>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（二）室内门窗安装完成；</w:t>
      </w:r>
    </w:p>
    <w:p>
      <w:pPr>
        <w:ind w:left="1590" w:leftChars="300" w:right="-512" w:rightChars="-244" w:hanging="960" w:hangingChars="3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（三）厨房、卫生间内固定家具和设施安装完成（含龙头）；</w:t>
      </w:r>
    </w:p>
    <w:p>
      <w:pPr>
        <w:ind w:left="-8" w:leftChars="-4"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（四）空调安装完成；</w:t>
      </w:r>
    </w:p>
    <w:p>
      <w:pPr>
        <w:ind w:left="-8" w:leftChars="-4"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（五）厨余垃圾处理设备安装完成（未配置垃圾气力输送系统的小区）；</w:t>
      </w:r>
    </w:p>
    <w:p>
      <w:pPr>
        <w:ind w:left="-8" w:leftChars="-4"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（六）配套电气设备等其他固定设施安装完成。</w:t>
      </w:r>
    </w:p>
    <w:p>
      <w:pPr>
        <w:numPr>
          <w:ilvl w:val="0"/>
          <w:numId w:val="2"/>
        </w:numPr>
        <w:ind w:left="0" w:firstLine="720" w:firstLineChars="225"/>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住宅装修应使用节能、节材、节水、低碳、环保的材料和设备。开发企业应将住宅装修工程所涉及的材料和设备列具清单，标明品牌、产地、规格、节能环保认证文件，并作为房屋销售合同的附件。</w:t>
      </w:r>
    </w:p>
    <w:p>
      <w:pPr>
        <w:numPr>
          <w:ilvl w:val="0"/>
          <w:numId w:val="2"/>
        </w:numPr>
        <w:ind w:left="0" w:firstLine="720" w:firstLineChars="225"/>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住宅装修工程实行实物样板间制度。</w:t>
      </w:r>
    </w:p>
    <w:p>
      <w:pPr>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实物样板间所使用的装修材料和设备应与房屋销售合同附件中标明的装修材料和设备相一致。实物样板间可设置在建筑实体内，也可设置在专门的销售场所，并于房屋预售前完成，通过实物形式表现住宅装修的质量标准和效果，是竣工验收和入住交验的实物依据。实物样板间在楼盘交付入住后6个月内应保持完好并开放。</w:t>
      </w:r>
    </w:p>
    <w:p>
      <w:pPr>
        <w:numPr>
          <w:ilvl w:val="0"/>
          <w:numId w:val="2"/>
        </w:numPr>
        <w:ind w:left="0" w:firstLine="720" w:firstLineChars="225"/>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生态城的住宅装修推行多样化服务，积极探索和实践新型的装修理念和模式，鼓励有利于节能环保的技术创新和管理创新，鼓励为购房人提供菜单化、组合式的装修选择。</w:t>
      </w:r>
    </w:p>
    <w:p>
      <w:pPr>
        <w:ind w:firstLine="627" w:firstLineChars="196"/>
        <w:rPr>
          <w:rFonts w:hint="eastAsia" w:ascii="仿宋_GB2312" w:hAnsi="宋体" w:eastAsia="仿宋_GB2312"/>
          <w:sz w:val="32"/>
          <w:szCs w:val="32"/>
        </w:rPr>
      </w:pPr>
    </w:p>
    <w:p>
      <w:pPr>
        <w:numPr>
          <w:ilvl w:val="0"/>
          <w:numId w:val="1"/>
        </w:numPr>
        <w:spacing w:before="312" w:beforeLines="100" w:after="312" w:afterLines="100"/>
        <w:ind w:left="1276" w:hanging="1276"/>
        <w:jc w:val="center"/>
        <w:rPr>
          <w:rFonts w:hint="eastAsia" w:ascii="黑体" w:hAnsi="仿宋" w:eastAsia="黑体" w:cs="宋体"/>
          <w:kern w:val="0"/>
          <w:sz w:val="32"/>
          <w:szCs w:val="32"/>
        </w:rPr>
      </w:pPr>
      <w:r>
        <w:rPr>
          <w:rFonts w:hint="eastAsia" w:ascii="黑体" w:hAnsi="仿宋" w:eastAsia="黑体" w:cs="宋体"/>
          <w:kern w:val="0"/>
          <w:sz w:val="32"/>
          <w:szCs w:val="32"/>
        </w:rPr>
        <w:t>设计和施工管理</w:t>
      </w:r>
    </w:p>
    <w:p>
      <w:pPr>
        <w:numPr>
          <w:ilvl w:val="0"/>
          <w:numId w:val="2"/>
        </w:numPr>
        <w:ind w:left="0" w:firstLine="720" w:firstLineChars="225"/>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住宅装修的设计应由开发企业委托具有相应资质的设计单位承担，应与住宅工程的规划设计同步进行、统筹考虑。</w:t>
      </w:r>
    </w:p>
    <w:p>
      <w:pPr>
        <w:numPr>
          <w:ilvl w:val="0"/>
          <w:numId w:val="2"/>
        </w:numPr>
        <w:ind w:left="0" w:firstLine="720" w:firstLineChars="225"/>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开发企业在房屋销售合同备案时，应将住宅装修的相关文档、图纸和装修材料设备清单提交管委会建设行政主管部门备案。</w:t>
      </w:r>
    </w:p>
    <w:p>
      <w:pPr>
        <w:numPr>
          <w:ilvl w:val="0"/>
          <w:numId w:val="2"/>
        </w:numPr>
        <w:ind w:left="0" w:firstLine="720" w:firstLineChars="225"/>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xml:space="preserve">  住宅装修工程应由开发企业委托具有相应资质的施工单位进行施工，并委托具有相应资质的监理单位进行监理。</w:t>
      </w:r>
    </w:p>
    <w:p>
      <w:pPr>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住宅装修施工应纳入住宅工程施工总承包管理。</w:t>
      </w:r>
    </w:p>
    <w:p>
      <w:pPr>
        <w:numPr>
          <w:ilvl w:val="0"/>
          <w:numId w:val="2"/>
        </w:numPr>
        <w:ind w:left="0" w:firstLine="720" w:firstLineChars="225"/>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xml:space="preserve">  装修材料设备应由开发企业、装修设计单位、装修施工单位和监理单位在批量进场前共同确认供应商的资质，并对拟供材料进行封样。装修材料设备批量进场时，应比对封样并按规范要求进行检验，合格后方可交付使用。对不合格品严禁进场，及时清退。</w:t>
      </w:r>
    </w:p>
    <w:p>
      <w:pPr>
        <w:numPr>
          <w:ilvl w:val="0"/>
          <w:numId w:val="2"/>
        </w:numPr>
        <w:ind w:left="0" w:firstLine="720" w:firstLineChars="225"/>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xml:space="preserve">  住宅装修工程应在土建结构工程完成至装修工程具备进场条件后方可开工，并应在完工后采取切实措施，确保成品完好。</w:t>
      </w:r>
    </w:p>
    <w:p>
      <w:pPr>
        <w:numPr>
          <w:ilvl w:val="0"/>
          <w:numId w:val="2"/>
        </w:numPr>
        <w:ind w:left="0" w:firstLine="720" w:firstLineChars="225"/>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xml:space="preserve">  开发企业应将装修垃圾存放于指定地点并及时清运，属于危险废物的应当按照相关规定存储和收运。</w:t>
      </w:r>
    </w:p>
    <w:p>
      <w:pPr>
        <w:numPr>
          <w:ilvl w:val="0"/>
          <w:numId w:val="1"/>
        </w:numPr>
        <w:spacing w:before="312" w:beforeLines="100" w:after="312" w:afterLines="100"/>
        <w:ind w:left="0" w:firstLine="0"/>
        <w:jc w:val="center"/>
        <w:rPr>
          <w:rFonts w:hint="eastAsia" w:ascii="黑体" w:hAnsi="仿宋" w:eastAsia="黑体" w:cs="宋体"/>
          <w:kern w:val="0"/>
          <w:sz w:val="32"/>
          <w:szCs w:val="32"/>
        </w:rPr>
      </w:pPr>
      <w:r>
        <w:rPr>
          <w:rFonts w:hint="eastAsia" w:ascii="黑体" w:hAnsi="仿宋" w:eastAsia="黑体" w:cs="宋体"/>
          <w:kern w:val="0"/>
          <w:sz w:val="32"/>
          <w:szCs w:val="32"/>
        </w:rPr>
        <w:t xml:space="preserve">验收管理  </w:t>
      </w:r>
    </w:p>
    <w:p>
      <w:pPr>
        <w:numPr>
          <w:ilvl w:val="0"/>
          <w:numId w:val="2"/>
        </w:numPr>
        <w:tabs>
          <w:tab w:val="left" w:pos="1985"/>
        </w:tabs>
        <w:ind w:left="0" w:firstLine="720" w:firstLineChars="225"/>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xml:space="preserve">  住宅装修工程验收前，应由具备资质的检测机构对室内空气质量进行抽查，并出具检测报告。抽查</w:t>
      </w:r>
      <w:r>
        <w:rPr>
          <w:rFonts w:hint="eastAsia" w:ascii="仿宋_GB2312" w:hAnsi="仿宋" w:eastAsia="仿宋_GB2312"/>
          <w:sz w:val="32"/>
          <w:szCs w:val="32"/>
        </w:rPr>
        <w:t>不合格的，由开发企业负责整改至合格，并承担相应责任</w:t>
      </w:r>
      <w:r>
        <w:rPr>
          <w:rFonts w:hint="eastAsia" w:ascii="仿宋_GB2312" w:hAnsi="仿宋" w:eastAsia="仿宋_GB2312" w:cs="宋体"/>
          <w:kern w:val="0"/>
          <w:sz w:val="32"/>
          <w:szCs w:val="32"/>
        </w:rPr>
        <w:t>。</w:t>
      </w:r>
    </w:p>
    <w:p>
      <w:pPr>
        <w:numPr>
          <w:ilvl w:val="0"/>
          <w:numId w:val="2"/>
        </w:numPr>
        <w:tabs>
          <w:tab w:val="left" w:pos="1985"/>
        </w:tabs>
        <w:spacing w:after="156" w:afterLines="50"/>
        <w:ind w:left="0" w:firstLine="720" w:firstLineChars="225"/>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xml:space="preserve">  住宅装修工程实行分户验收。先由开发企业组织施工单位（含总包单位和装修施工单位）、设计单位、监理单位对每一户及公共部位进行验收，符合要求后，再由开发企业通知购房人进行交付验收。</w:t>
      </w:r>
    </w:p>
    <w:p>
      <w:pPr>
        <w:numPr>
          <w:ilvl w:val="0"/>
          <w:numId w:val="1"/>
        </w:numPr>
        <w:spacing w:before="312" w:beforeLines="100" w:after="312" w:afterLines="100"/>
        <w:ind w:left="0" w:firstLine="0"/>
        <w:jc w:val="center"/>
        <w:rPr>
          <w:rFonts w:hint="eastAsia" w:ascii="黑体" w:hAnsi="仿宋" w:eastAsia="黑体" w:cs="宋体"/>
          <w:kern w:val="0"/>
          <w:sz w:val="32"/>
          <w:szCs w:val="32"/>
        </w:rPr>
      </w:pPr>
      <w:r>
        <w:rPr>
          <w:rFonts w:hint="eastAsia" w:ascii="黑体" w:hAnsi="仿宋" w:eastAsia="黑体" w:cs="宋体"/>
          <w:kern w:val="0"/>
          <w:sz w:val="32"/>
          <w:szCs w:val="32"/>
        </w:rPr>
        <w:t>使用管理</w:t>
      </w:r>
    </w:p>
    <w:p>
      <w:pPr>
        <w:numPr>
          <w:ilvl w:val="0"/>
          <w:numId w:val="2"/>
        </w:numPr>
        <w:tabs>
          <w:tab w:val="left" w:pos="1985"/>
        </w:tabs>
        <w:ind w:left="0" w:firstLine="720" w:firstLineChars="225"/>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xml:space="preserve">  开发企业应制作房屋装修说明书，标明使用的注意事项、水电气热等管线隐蔽工程的位置走向、各类电气设备的安全使用要求、住宅装修工程保修范围及保修期限等，作为房屋使用说明书的附件。</w:t>
      </w:r>
    </w:p>
    <w:p>
      <w:pPr>
        <w:numPr>
          <w:ilvl w:val="0"/>
          <w:numId w:val="2"/>
        </w:numPr>
        <w:tabs>
          <w:tab w:val="left" w:pos="1985"/>
        </w:tabs>
        <w:ind w:left="0" w:firstLine="720" w:firstLineChars="225"/>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 xml:space="preserve">  房屋使用人不得擅自对房屋结构和水电气热等设备管线进行拆改。</w:t>
      </w:r>
    </w:p>
    <w:p>
      <w:pPr>
        <w:numPr>
          <w:ilvl w:val="0"/>
          <w:numId w:val="1"/>
        </w:numPr>
        <w:spacing w:before="312" w:beforeLines="100" w:after="312" w:afterLines="100"/>
        <w:ind w:left="0" w:firstLine="0"/>
        <w:jc w:val="center"/>
        <w:rPr>
          <w:rFonts w:hint="eastAsia" w:ascii="黑体" w:hAnsi="仿宋" w:eastAsia="黑体" w:cs="宋体"/>
          <w:kern w:val="0"/>
          <w:sz w:val="32"/>
          <w:szCs w:val="32"/>
        </w:rPr>
      </w:pPr>
      <w:r>
        <w:rPr>
          <w:rFonts w:hint="eastAsia" w:ascii="黑体" w:hAnsi="仿宋" w:eastAsia="黑体" w:cs="宋体"/>
          <w:kern w:val="0"/>
          <w:sz w:val="32"/>
          <w:szCs w:val="32"/>
        </w:rPr>
        <w:t>附</w:t>
      </w:r>
      <w:r>
        <w:rPr>
          <w:rFonts w:hint="eastAsia" w:ascii="黑体" w:hAnsi="宋体" w:eastAsia="黑体" w:cs="宋体"/>
          <w:kern w:val="0"/>
          <w:sz w:val="32"/>
          <w:szCs w:val="32"/>
        </w:rPr>
        <w:t> </w:t>
      </w:r>
      <w:r>
        <w:rPr>
          <w:rFonts w:hint="eastAsia" w:ascii="黑体" w:hAnsi="仿宋" w:eastAsia="黑体" w:cs="宋体"/>
          <w:kern w:val="0"/>
          <w:sz w:val="32"/>
          <w:szCs w:val="32"/>
        </w:rPr>
        <w:t>则</w:t>
      </w:r>
    </w:p>
    <w:p>
      <w:pPr>
        <w:numPr>
          <w:ilvl w:val="0"/>
          <w:numId w:val="2"/>
        </w:numPr>
        <w:tabs>
          <w:tab w:val="left" w:pos="1701"/>
        </w:tabs>
        <w:spacing w:line="560" w:lineRule="exact"/>
        <w:ind w:left="0" w:firstLine="640" w:firstLineChars="200"/>
        <w:jc w:val="left"/>
        <w:rPr>
          <w:rFonts w:ascii="仿宋_GB2312" w:eastAsia="仿宋_GB2312"/>
          <w:sz w:val="32"/>
          <w:szCs w:val="32"/>
        </w:rPr>
      </w:pPr>
      <w:r>
        <w:rPr>
          <w:rFonts w:hint="eastAsia" w:ascii="仿宋_GB2312" w:hAnsi="仿宋" w:eastAsia="仿宋_GB2312" w:cs="宋体"/>
          <w:kern w:val="0"/>
          <w:sz w:val="32"/>
          <w:szCs w:val="32"/>
        </w:rPr>
        <w:t xml:space="preserve">  本规定自2011年6月1日起施行。</w:t>
      </w:r>
    </w:p>
    <w:sectPr>
      <w:footerReference r:id="rId3" w:type="default"/>
      <w:footerReference r:id="rId4" w:type="even"/>
      <w:pgSz w:w="11906" w:h="16838"/>
      <w:pgMar w:top="2098" w:right="1474" w:bottom="1985" w:left="1588"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606555"/>
      <w:docPartObj>
        <w:docPartGallery w:val="AutoText"/>
      </w:docPartObj>
    </w:sdtPr>
    <w:sdtEndPr>
      <w:rPr>
        <w:rFonts w:asciiTheme="minorEastAsia" w:hAnsiTheme="minorEastAsia"/>
        <w:sz w:val="28"/>
        <w:szCs w:val="28"/>
      </w:rPr>
    </w:sdtEndPr>
    <w:sdtContent>
      <w:p>
        <w:pPr>
          <w:pStyle w:val="2"/>
          <w:ind w:right="210" w:rightChars="100"/>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7 -</w:t>
        </w:r>
        <w:r>
          <w:rPr>
            <w:rFonts w:asciiTheme="minorEastAsia" w:hAnsiTheme="minorEastAsia"/>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606558"/>
      <w:docPartObj>
        <w:docPartGallery w:val="AutoText"/>
      </w:docPartObj>
    </w:sdtPr>
    <w:sdtContent>
      <w:p>
        <w:pPr>
          <w:pStyle w:val="2"/>
          <w:ind w:left="210" w:leftChars="100"/>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C95EBB"/>
    <w:multiLevelType w:val="multilevel"/>
    <w:tmpl w:val="49C95EBB"/>
    <w:lvl w:ilvl="0" w:tentative="0">
      <w:start w:val="1"/>
      <w:numFmt w:val="japaneseCounting"/>
      <w:lvlText w:val="第%1章"/>
      <w:lvlJc w:val="left"/>
      <w:pPr>
        <w:ind w:left="4253" w:hanging="1275"/>
      </w:pPr>
      <w:rPr>
        <w:rFonts w:hint="eastAsia" w:ascii="黑体"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679011E"/>
    <w:multiLevelType w:val="multilevel"/>
    <w:tmpl w:val="6679011E"/>
    <w:lvl w:ilvl="0" w:tentative="0">
      <w:start w:val="1"/>
      <w:numFmt w:val="japaneseCounting"/>
      <w:lvlText w:val="第%1条"/>
      <w:lvlJc w:val="left"/>
      <w:pPr>
        <w:ind w:left="1290" w:hanging="1290"/>
      </w:pPr>
      <w:rPr>
        <w:rFonts w:hint="eastAsia" w:ascii="黑体" w:eastAsia="黑体"/>
        <w:b w:val="0"/>
        <w:shd w:val="clear" w:color="auto" w:fil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iZjU1OWMzOWFmNGExMGQ3YjRjOWEwZjk3ZDY0YmEifQ=="/>
  </w:docVars>
  <w:rsids>
    <w:rsidRoot w:val="008673EF"/>
    <w:rsid w:val="001217B8"/>
    <w:rsid w:val="00165F6D"/>
    <w:rsid w:val="003E2ED5"/>
    <w:rsid w:val="006756AA"/>
    <w:rsid w:val="008673EF"/>
    <w:rsid w:val="00900CF7"/>
    <w:rsid w:val="00A80787"/>
    <w:rsid w:val="00AC4564"/>
    <w:rsid w:val="00D46B06"/>
    <w:rsid w:val="165B2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1"/>
    <w:qFormat/>
    <w:uiPriority w:val="0"/>
    <w:pPr>
      <w:spacing w:before="240" w:after="60"/>
      <w:jc w:val="center"/>
      <w:outlineLvl w:val="0"/>
    </w:pPr>
    <w:rPr>
      <w:rFonts w:ascii="Cambria" w:hAnsi="Cambria" w:eastAsia="宋体" w:cs="Times New Roman"/>
      <w:b/>
      <w:bCs/>
      <w:sz w:val="32"/>
      <w:szCs w:val="32"/>
    </w:rPr>
  </w:style>
  <w:style w:type="character" w:styleId="7">
    <w:name w:val="page number"/>
    <w:basedOn w:val="6"/>
    <w:qFormat/>
    <w:uiPriority w:val="0"/>
  </w:style>
  <w:style w:type="character" w:customStyle="1" w:styleId="8">
    <w:name w:val="页眉 字符"/>
    <w:basedOn w:val="6"/>
    <w:link w:val="3"/>
    <w:semiHidden/>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标题 字符"/>
    <w:basedOn w:val="6"/>
    <w:qFormat/>
    <w:uiPriority w:val="10"/>
    <w:rPr>
      <w:rFonts w:asciiTheme="majorHAnsi" w:hAnsiTheme="majorHAnsi" w:eastAsiaTheme="majorEastAsia" w:cstheme="majorBidi"/>
      <w:b/>
      <w:bCs/>
      <w:sz w:val="32"/>
      <w:szCs w:val="32"/>
    </w:rPr>
  </w:style>
  <w:style w:type="character" w:customStyle="1" w:styleId="11">
    <w:name w:val="标题 Char"/>
    <w:basedOn w:val="6"/>
    <w:link w:val="4"/>
    <w:uiPriority w:val="0"/>
    <w:rPr>
      <w:rFonts w:ascii="Cambria" w:hAnsi="Cambria" w:eastAsia="宋体" w:cs="Times New Roman"/>
      <w:b/>
      <w:bCs/>
      <w:sz w:val="32"/>
      <w:szCs w:val="32"/>
    </w:rPr>
  </w:style>
  <w:style w:type="character" w:customStyle="1" w:styleId="12">
    <w:name w:val="页脚 Char"/>
    <w:basedOn w:val="6"/>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037;&#20316;&#25991;&#26412;\&#20844;&#25991;&#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公文模板</Template>
  <Pages>5</Pages>
  <Words>1477</Words>
  <Characters>1483</Characters>
  <Lines>12</Lines>
  <Paragraphs>3</Paragraphs>
  <TotalTime>5</TotalTime>
  <ScaleCrop>false</ScaleCrop>
  <LinksUpToDate>false</LinksUpToDate>
  <CharactersWithSpaces>1506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2023-06-19T06:57:00Z</dcterms:created>
  <dc:creator>审核</dc:creator>
  <cp:lastModifiedBy>小蘑菇</cp:lastModifiedBy>
  <dcterms:modified xsi:type="dcterms:W3CDTF">2023-06-20T07:04:16Z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D43228E6DD994C3F8CDD347C5E724623_13</vt:lpwstr>
  </property>
</Properties>
</file>