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天津东疆综合保税区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关于加快推进新型物流行业高质量发展的若干意见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/>
          <w:color w:val="auto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  <w:lang w:val="en" w:eastAsia="zh-CN"/>
        </w:rPr>
        <w:t>(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" w:eastAsia="zh-CN"/>
        </w:rPr>
        <w:t>征求意见稿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val="en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jc w:val="left"/>
        <w:textAlignment w:val="auto"/>
        <w:rPr>
          <w:rFonts w:ascii="Times New Roman" w:hAnsi="Times New Roman" w:eastAsia="楷体_GB2312"/>
          <w:b/>
          <w:bCs/>
          <w:color w:val="auto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为深入贯彻落实党中央、国务院关于有效降低全社会物流成本的决策部署，推动搭建并完善现代商贸流通体系，结构性、系统性降低企业物流成本，根据《国务院办公厅关于印发</w:t>
      </w:r>
      <w:r>
        <w:rPr>
          <w:rFonts w:hint="eastAsia" w:ascii="Times New Roman" w:hAnsi="Times New Roman" w:eastAsia="仿宋_GB2312"/>
          <w:color w:val="auto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6"/>
          <w:szCs w:val="36"/>
        </w:rPr>
        <w:t>十四五</w:t>
      </w:r>
      <w:r>
        <w:rPr>
          <w:rFonts w:hint="eastAsia" w:ascii="Times New Roman" w:hAnsi="Times New Roman" w:eastAsia="仿宋_GB2312"/>
          <w:color w:val="auto"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6"/>
          <w:szCs w:val="36"/>
        </w:rPr>
        <w:t>现代物流发展规划的通知》（国办发〔2022〕17号）、《中共中央办公厅 国务院办公厅关于有效降低全社会物流成本行动方案》及商务部等8部门《加快数智供应链发展专项行动计划》决策部署，落实《中共天津市委办公厅 天津市人民政府办公厅关于进一步优化营商环境的意见》要求，结合东疆实际，特制定本意见。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left"/>
        <w:textAlignment w:val="auto"/>
        <w:rPr>
          <w:rFonts w:ascii="Times New Roman" w:hAnsi="Times New Roman" w:eastAsia="黑体"/>
          <w:color w:val="auto"/>
          <w:sz w:val="36"/>
          <w:szCs w:val="36"/>
        </w:rPr>
      </w:pPr>
      <w:r>
        <w:rPr>
          <w:rFonts w:ascii="Times New Roman" w:hAnsi="Times New Roman" w:eastAsia="黑体"/>
          <w:color w:val="auto"/>
          <w:sz w:val="36"/>
          <w:szCs w:val="36"/>
        </w:rPr>
        <w:t>一、 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坚持以习近平新时代中国特色社会主义思想为指导，深入贯彻党的二十大和二十届二中、三中全会精神，完整准确全面贯彻新发展理念，深入学习贯彻习近平总书记视察天津重要讲话、重要指示精神，全面落实天津市、滨海新区、东疆管委会相关工作部署，形成网络货运升级、传统物流转型、多式联运贯通、供应链条完备的四维集成式</w:t>
      </w:r>
      <w:r>
        <w:rPr>
          <w:rFonts w:hint="eastAsia" w:ascii="Times New Roman" w:hAnsi="Times New Roman" w:eastAsia="仿宋_GB2312"/>
          <w:color w:val="auto"/>
          <w:sz w:val="36"/>
          <w:szCs w:val="36"/>
          <w:lang w:val="en-US" w:eastAsia="zh-CN"/>
        </w:rPr>
        <w:t>新型物流发展</w:t>
      </w:r>
      <w:r>
        <w:rPr>
          <w:rFonts w:hint="eastAsia" w:ascii="Times New Roman" w:hAnsi="Times New Roman" w:eastAsia="仿宋_GB2312"/>
          <w:color w:val="auto"/>
          <w:sz w:val="36"/>
          <w:szCs w:val="36"/>
        </w:rPr>
        <w:t>新格局，强化规范性网络货运平台核心引擎功能，有效降低运输成本、仓储成本、管理成本、经营成本，持续筑牢网络货运产业发展高地竞争优势。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36"/>
          <w:szCs w:val="36"/>
        </w:rPr>
        <w:t>主要目标是：到</w:t>
      </w:r>
      <w:r>
        <w:rPr>
          <w:rFonts w:hint="eastAsia" w:ascii="Times New Roman" w:hAnsi="Times New Roman" w:eastAsia="仿宋_GB2312"/>
          <w:color w:val="auto"/>
          <w:sz w:val="36"/>
          <w:szCs w:val="36"/>
          <w:lang w:val="en-US" w:eastAsia="zh-CN"/>
        </w:rPr>
        <w:t>2030</w:t>
      </w:r>
      <w:r>
        <w:rPr>
          <w:rFonts w:hint="eastAsia" w:ascii="Times New Roman" w:hAnsi="Times New Roman" w:eastAsia="仿宋_GB2312"/>
          <w:color w:val="auto"/>
          <w:sz w:val="36"/>
          <w:szCs w:val="36"/>
        </w:rPr>
        <w:t>年，力争建成业态集聚、技术领先、生态完备、辐射力强的国家级</w:t>
      </w:r>
      <w:r>
        <w:rPr>
          <w:rFonts w:hint="eastAsia" w:ascii="Times New Roman" w:hAnsi="Times New Roman" w:eastAsia="仿宋_GB2312"/>
          <w:color w:val="auto"/>
          <w:sz w:val="36"/>
          <w:szCs w:val="36"/>
          <w:lang w:val="en-US" w:eastAsia="zh-CN"/>
        </w:rPr>
        <w:t>新型物流</w:t>
      </w:r>
      <w:r>
        <w:rPr>
          <w:rFonts w:hint="eastAsia" w:ascii="Times New Roman" w:hAnsi="Times New Roman" w:eastAsia="仿宋_GB2312"/>
          <w:color w:val="auto"/>
          <w:sz w:val="36"/>
          <w:szCs w:val="36"/>
        </w:rPr>
        <w:t>枢纽。产业能级实现新跨越，培育一批具有全国影响力的标杆型网络货运龙头企业和平台；运行效率达到新高度，全链条物流成本显著下降，资源集约化配置水平大幅提升；融合发展形成新范式，“物流+贸易+金融+数据”的产业生态圈基本成熟；绿色转型取得新进展，新能源运力规模与碳普惠机制建设走在全国前列；数据要素价值实现新突破，形成一批可复制推广的数据资产化创新成果</w:t>
      </w:r>
      <w:r>
        <w:rPr>
          <w:rFonts w:hint="eastAsia" w:ascii="Times New Roman" w:hAnsi="Times New Roman" w:eastAsia="仿宋_GB2312"/>
          <w:color w:val="auto"/>
          <w:sz w:val="36"/>
          <w:szCs w:val="36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6"/>
          <w:szCs w:val="36"/>
        </w:rPr>
        <w:t>区域物流竞争力、创新驱动力和辐射带动力全面提升，为服务国家战略和区域经济高质量发展提供坚实支撑。</w:t>
      </w:r>
    </w:p>
    <w:p>
      <w:pPr>
        <w:spacing w:line="640" w:lineRule="exact"/>
        <w:ind w:firstLine="720" w:firstLineChars="200"/>
        <w:jc w:val="both"/>
        <w:rPr>
          <w:rFonts w:hint="eastAsia" w:ascii="Times New Roman" w:hAnsi="Times New Roman" w:eastAsia="黑体"/>
          <w:color w:val="auto"/>
          <w:kern w:val="0"/>
          <w:sz w:val="36"/>
          <w:szCs w:val="36"/>
          <w:lang w:val="en-US" w:eastAsia="zh-CN"/>
        </w:rPr>
      </w:pPr>
      <w:r>
        <w:rPr>
          <w:rFonts w:ascii="Times New Roman" w:hAnsi="Times New Roman" w:eastAsia="黑体"/>
          <w:color w:val="auto"/>
          <w:kern w:val="0"/>
          <w:sz w:val="36"/>
          <w:szCs w:val="36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6"/>
          <w:szCs w:val="36"/>
          <w:lang w:val="en-US" w:eastAsia="zh-CN"/>
        </w:rPr>
        <w:t>支持对象</w:t>
      </w:r>
    </w:p>
    <w:p>
      <w:pPr>
        <w:spacing w:line="640" w:lineRule="exact"/>
        <w:ind w:firstLine="720" w:firstLineChars="20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本意见支持的对象是指注册地在东疆，并合法经营的网络货运企业（依托互联网平台整合配置运输资源，以承运人身份与托运人签订运输合同，委托实际承运人完成道路货物运输，承担承运人责任的道路货物运输经营者）、网络货运撮合企业（依托互联网平台整合配置运输资源，为托运人和实际承运人提供信息中介和交易撮合等服务的经营者）、网络水路货运企业（依托互联网平台整合配置运输资源，以承运人身份与托运人签订运输合同，委托实际承运人完成水路货物运输，承担承运人责任的经营者）、多式联运企业、B2B物流服务企业以及具有运输需求的独立法人公司和分支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default" w:ascii="Times New Roman" w:hAnsi="Times New Roman" w:eastAsia="黑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6"/>
          <w:szCs w:val="36"/>
          <w:lang w:val="en-US" w:eastAsia="zh-CN"/>
        </w:rPr>
        <w:t>三、支持措施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  <w:t>（一）推动规模化与集约化发展</w:t>
      </w:r>
    </w:p>
    <w:p>
      <w:pPr>
        <w:spacing w:line="640" w:lineRule="exact"/>
        <w:ind w:firstLine="720" w:firstLineChars="20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强化企业创新主体地位，加强科技研发投入，支持产学研协同和多元场景创新应用，依托大数据产业优势，利用人工智能、物联网和云计算等先进技术与物流业务深度融合，重点突破物流匹配算法、动态调度等产业核心技术，赋能全流程透明化管理，提升物流资源整体配置效率和集约化水平，降低空驶与闲置率，实现技术性降本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  <w:t>（二）深化产业融合与能级提升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依托东疆租赁创新示范区的区域优势，推动新型物流产业与现代服务业的深度融合，促进物流与贸易、金融、资本等要素资源高效协同与整合。支持企业沿产业链延伸服务边界，加快发展高附加值、专业化增值服务，构建跨领域、复合型的产业生态体系。强化与区域特色优势产业战略联动，创新“以运促贸、以贸带运”发展机制，提升价值创造能力。推动金融资本与物流运营深度融合，鼓励构建基于真实交易数据的信用体系和金融服务新模式，有效提升资金配置效率和企业融资能力，赋能产业生态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  <w:t>（三）营造公平透明营商环境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完善行业信用监管与评价体系，鼓励企业参与行业标准协会服务能力评估和司机信用管理，引导行业合规发展与良性竞争。全面落实国家各项税收政策，优化进项抵扣服务与政策传导机制，切实提升企业获得感。持续探索适应新业态、新模式的进项抵扣管理机制，有效降低行业综合税负，激发市场主体内生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  <w:t>（四）激活市场要素与扩展服务功能</w:t>
      </w:r>
    </w:p>
    <w:p>
      <w:pPr>
        <w:spacing w:line="640" w:lineRule="exact"/>
        <w:ind w:firstLine="720" w:firstLineChars="20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培育多式联运经营主体，发展集装箱公铁、铁水联运，加快推进一单制、一箱制，推广带托盘运输等集装化运输模式，创新打造稳定运行、品牌化的多式联运产品。统一协同各种运输方式规则标准，加强设施衔接、信息共享、标准协同、安检互认。支持多式联运示范工程建设，拓展“一单制”服务覆盖面，提升跨运输方式衔接效率。引导企业深化信息技术应用，创新产业供应链服务模式，推动产业物流服务向价值链高端跃升，加速数字化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  <w:t>（五）助力全行业降本增效</w:t>
      </w:r>
    </w:p>
    <w:p>
      <w:pPr>
        <w:spacing w:line="640" w:lineRule="exact"/>
        <w:ind w:firstLine="720" w:firstLineChars="200"/>
        <w:jc w:val="both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发挥政府引导与政策工具杠杆作用，探索实施“新型物流运力券”模式，通过多元化政策工具优化区域物流资源配置，激励市场主体采纳高效、合规的物流服务，全面提升物流体系运行质量与效率，有力支撑“十四五”时期社会物流成本下降的重要任务，并积极推动实现“十五五”期间绿色低碳、可持续发展新格局的核心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  <w:t>（六）引导行业绿色低碳转型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构建绿色低碳物流体系，引导企业优化运输结构，扩大新能源装备应用规模，引导绿色运力规模化、规范化发展。完善绿色认证与评价体系，探索建立碳普惠机制，引导企业强化ESG治理，全面提升行业绿色低碳可持续发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6"/>
          <w:szCs w:val="36"/>
          <w:lang w:val="en-US" w:eastAsia="zh-CN" w:bidi="ar-SA"/>
        </w:rPr>
        <w:t>（七）强化数据要素赋能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加快推动数据资源开发利用与安全治理体系建设，促进数据要素合规高效流通。鼓励探索数据资产化创新路径，深化数据在产业赋能、信用支撑、融资服务等领域的融合应用。充分发挥数据要素的放大、叠加与倍增作用，赋能物流产业数字化转型与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黑体"/>
          <w:color w:val="auto"/>
          <w:kern w:val="0"/>
          <w:sz w:val="36"/>
          <w:szCs w:val="36"/>
          <w:lang w:val="en-US" w:eastAsia="zh-CN"/>
        </w:rPr>
        <w:t>四</w:t>
      </w:r>
      <w:r>
        <w:rPr>
          <w:rFonts w:ascii="Times New Roman" w:hAnsi="Times New Roman" w:eastAsia="黑体"/>
          <w:color w:val="auto"/>
          <w:kern w:val="0"/>
          <w:sz w:val="36"/>
          <w:szCs w:val="36"/>
        </w:rPr>
        <w:t>、强化组织实施保障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highlight w:val="none"/>
          <w:lang w:val="en-US" w:eastAsia="zh-CN" w:bidi="ar-SA"/>
        </w:rPr>
        <w:t>东疆综合保税区管委会各部门要全面加强组织领导与统筹协调，压实主体责任，确保各项举措有序推进、取得实效。充分发挥行业协会等社会组织的桥梁与枢纽功能，广泛凝聚政策合力。强化政策宣贯与解读引导，积极营造鼓励创新、支持实干的良好发展环境，持续提升东疆在优化区域营商环境、服务全市开放型经济高质量发展中的支撑作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9297B"/>
    <w:rsid w:val="0A222B45"/>
    <w:rsid w:val="0C08354E"/>
    <w:rsid w:val="2B2E5C1C"/>
    <w:rsid w:val="33A523A9"/>
    <w:rsid w:val="3BD73832"/>
    <w:rsid w:val="410747AC"/>
    <w:rsid w:val="45C86C6B"/>
    <w:rsid w:val="596B249A"/>
    <w:rsid w:val="62E915EB"/>
    <w:rsid w:val="66EB2D73"/>
    <w:rsid w:val="76D9297B"/>
    <w:rsid w:val="DBF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2374</Words>
  <Characters>2385</Characters>
  <Lines>0</Lines>
  <Paragraphs>0</Paragraphs>
  <TotalTime>17</TotalTime>
  <ScaleCrop>false</ScaleCrop>
  <LinksUpToDate>false</LinksUpToDate>
  <CharactersWithSpaces>2388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2025-09-01T09:05:00Z</dcterms:created>
  <dc:creator>张迎奥</dc:creator>
  <cp:lastModifiedBy>greatwall</cp:lastModifiedBy>
  <cp:lastPrinted>2025-09-08T13:45:00Z</cp:lastPrinted>
  <dcterms:modified xsi:type="dcterms:W3CDTF">2025-10-13T16:19:39Z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CD69B6E33D1C4EB999E155B24FDE13FC_13</vt:lpwstr>
  </property>
  <property fmtid="{D5CDD505-2E9C-101B-9397-08002B2CF9AE}" pid="4" name="KSOTemplateDocerSaveRecord">
    <vt:lpwstr>eyJoZGlkIjoiODliOGIzNzIyZThkMjg3NTdiOGI0NzhjODNiYzMwNjYiLCJ1c2VySWQiOiIzNjMyMjY3MTYifQ==</vt:lpwstr>
  </property>
</Properties>
</file>