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77D92">
      <w:pPr>
        <w:jc w:val="center"/>
        <w:rPr>
          <w:rFonts w:hint="eastAsia" w:ascii="黑体" w:hAnsi="黑体" w:eastAsia="黑体"/>
          <w:sz w:val="32"/>
          <w:szCs w:val="32"/>
        </w:rPr>
      </w:pPr>
      <w:bookmarkStart w:id="0" w:name="_GoBack"/>
      <w:bookmarkEnd w:id="0"/>
      <w:r>
        <w:rPr>
          <w:rFonts w:hint="eastAsia" w:ascii="黑体" w:hAnsi="黑体" w:eastAsia="黑体"/>
          <w:sz w:val="32"/>
          <w:szCs w:val="32"/>
        </w:rPr>
        <w:t>天津港保税区202</w:t>
      </w:r>
      <w:r>
        <w:rPr>
          <w:rFonts w:hint="eastAsia" w:ascii="黑体" w:hAnsi="黑体" w:eastAsia="黑体"/>
          <w:sz w:val="32"/>
          <w:szCs w:val="32"/>
          <w:lang w:val="en-US" w:eastAsia="zh-CN"/>
        </w:rPr>
        <w:t>5</w:t>
      </w:r>
      <w:r>
        <w:rPr>
          <w:rFonts w:hint="eastAsia" w:ascii="黑体" w:hAnsi="黑体" w:eastAsia="黑体"/>
          <w:sz w:val="32"/>
          <w:szCs w:val="32"/>
        </w:rPr>
        <w:t>年“三公”经费预算情况说明</w:t>
      </w:r>
    </w:p>
    <w:p w14:paraId="0715CF54">
      <w:pPr>
        <w:jc w:val="center"/>
        <w:rPr>
          <w:rFonts w:hint="eastAsia"/>
          <w:sz w:val="32"/>
          <w:szCs w:val="32"/>
        </w:rPr>
      </w:pPr>
    </w:p>
    <w:p w14:paraId="70DFCF45">
      <w:pPr>
        <w:rPr>
          <w:rFonts w:hint="eastAsia" w:ascii="仿宋" w:hAnsi="仿宋" w:eastAsia="仿宋"/>
          <w:sz w:val="30"/>
          <w:szCs w:val="30"/>
        </w:rPr>
      </w:pPr>
      <w:r>
        <w:rPr>
          <w:rFonts w:hint="eastAsia"/>
        </w:rPr>
        <w:t xml:space="preserve">   </w:t>
      </w:r>
      <w:r>
        <w:rPr>
          <w:rFonts w:hint="eastAsia" w:ascii="仿宋" w:hAnsi="仿宋" w:eastAsia="仿宋"/>
          <w:sz w:val="30"/>
          <w:szCs w:val="30"/>
        </w:rPr>
        <w:t xml:space="preserve">  202</w:t>
      </w:r>
      <w:r>
        <w:rPr>
          <w:rFonts w:hint="eastAsia" w:ascii="仿宋" w:hAnsi="仿宋" w:eastAsia="仿宋"/>
          <w:sz w:val="30"/>
          <w:szCs w:val="30"/>
          <w:lang w:val="en-US" w:eastAsia="zh-CN"/>
        </w:rPr>
        <w:t>5</w:t>
      </w:r>
      <w:r>
        <w:rPr>
          <w:rFonts w:hint="eastAsia" w:ascii="仿宋" w:hAnsi="仿宋" w:eastAsia="仿宋"/>
          <w:sz w:val="30"/>
          <w:szCs w:val="30"/>
        </w:rPr>
        <w:t>年天津港保税区一般公共预算安排因公出国（境）费、公务用车购置及运行费、公务接待费等“三公”经费支出预算156万元，与202</w:t>
      </w:r>
      <w:r>
        <w:rPr>
          <w:rFonts w:hint="eastAsia" w:ascii="仿宋" w:hAnsi="仿宋" w:eastAsia="仿宋"/>
          <w:sz w:val="30"/>
          <w:szCs w:val="30"/>
          <w:lang w:val="en-US" w:eastAsia="zh-CN"/>
        </w:rPr>
        <w:t>4</w:t>
      </w:r>
      <w:r>
        <w:rPr>
          <w:rFonts w:hint="eastAsia" w:ascii="仿宋" w:hAnsi="仿宋" w:eastAsia="仿宋"/>
          <w:sz w:val="30"/>
          <w:szCs w:val="30"/>
        </w:rPr>
        <w:t>年持平，主要是继续严格控制“三公”经费，合理安排相关支出。具体情况：</w:t>
      </w:r>
    </w:p>
    <w:p w14:paraId="66A5FE62">
      <w:pPr>
        <w:rPr>
          <w:rFonts w:hint="eastAsia" w:ascii="仿宋" w:hAnsi="仿宋" w:eastAsia="仿宋"/>
          <w:sz w:val="30"/>
          <w:szCs w:val="30"/>
        </w:rPr>
      </w:pPr>
      <w:r>
        <w:rPr>
          <w:rFonts w:hint="eastAsia" w:ascii="仿宋" w:hAnsi="仿宋" w:eastAsia="仿宋"/>
          <w:sz w:val="30"/>
          <w:szCs w:val="30"/>
        </w:rPr>
        <w:t xml:space="preserve">    一、因公出国（境）费</w:t>
      </w:r>
      <w:r>
        <w:rPr>
          <w:rFonts w:hint="eastAsia" w:ascii="仿宋" w:hAnsi="仿宋" w:eastAsia="仿宋"/>
          <w:sz w:val="30"/>
          <w:szCs w:val="30"/>
          <w:lang w:val="en-US" w:eastAsia="zh-CN"/>
        </w:rPr>
        <w:t>69</w:t>
      </w:r>
      <w:r>
        <w:rPr>
          <w:rFonts w:hint="eastAsia" w:ascii="仿宋" w:hAnsi="仿宋" w:eastAsia="仿宋"/>
          <w:sz w:val="30"/>
          <w:szCs w:val="30"/>
        </w:rPr>
        <w:t>万元，与202</w:t>
      </w:r>
      <w:r>
        <w:rPr>
          <w:rFonts w:hint="eastAsia" w:ascii="仿宋" w:hAnsi="仿宋" w:eastAsia="仿宋"/>
          <w:sz w:val="30"/>
          <w:szCs w:val="30"/>
          <w:lang w:val="en-US" w:eastAsia="zh-CN"/>
        </w:rPr>
        <w:t>4</w:t>
      </w:r>
      <w:r>
        <w:rPr>
          <w:rFonts w:hint="eastAsia" w:ascii="仿宋" w:hAnsi="仿宋" w:eastAsia="仿宋"/>
          <w:sz w:val="30"/>
          <w:szCs w:val="30"/>
        </w:rPr>
        <w:t>年预算相比略有</w:t>
      </w:r>
      <w:r>
        <w:rPr>
          <w:rFonts w:hint="eastAsia" w:ascii="仿宋" w:hAnsi="仿宋" w:eastAsia="仿宋"/>
          <w:sz w:val="30"/>
          <w:szCs w:val="30"/>
          <w:lang w:val="en-US" w:eastAsia="zh-CN"/>
        </w:rPr>
        <w:t>下降</w:t>
      </w:r>
      <w:r>
        <w:rPr>
          <w:rFonts w:hint="eastAsia" w:ascii="仿宋" w:hAnsi="仿宋" w:eastAsia="仿宋"/>
          <w:sz w:val="30"/>
          <w:szCs w:val="30"/>
        </w:rPr>
        <w:t>，</w:t>
      </w:r>
      <w:r>
        <w:rPr>
          <w:rFonts w:hint="eastAsia" w:ascii="仿宋" w:hAnsi="仿宋" w:eastAsia="仿宋"/>
          <w:sz w:val="30"/>
          <w:szCs w:val="30"/>
          <w:lang w:val="en-US" w:eastAsia="zh-CN"/>
        </w:rPr>
        <w:t>主要是不断优化因公出访机制，科学统筹谋划团组出访任务，在高效节约的基础上落实好我区因公出访工作的整体规划及闭环管理机制。</w:t>
      </w:r>
    </w:p>
    <w:p w14:paraId="7586A146">
      <w:pPr>
        <w:ind w:firstLine="600" w:firstLineChars="200"/>
        <w:rPr>
          <w:rFonts w:hint="eastAsia" w:ascii="仿宋" w:hAnsi="仿宋" w:eastAsia="仿宋"/>
          <w:sz w:val="30"/>
          <w:szCs w:val="30"/>
          <w:lang w:eastAsia="zh-CN"/>
        </w:rPr>
      </w:pPr>
      <w:r>
        <w:rPr>
          <w:rFonts w:hint="eastAsia" w:ascii="仿宋" w:hAnsi="仿宋" w:eastAsia="仿宋"/>
          <w:sz w:val="30"/>
          <w:szCs w:val="30"/>
        </w:rPr>
        <w:t>二、公务用车购置及运行费8</w:t>
      </w:r>
      <w:r>
        <w:rPr>
          <w:rFonts w:hint="eastAsia" w:ascii="仿宋" w:hAnsi="仿宋" w:eastAsia="仿宋"/>
          <w:sz w:val="30"/>
          <w:szCs w:val="30"/>
          <w:lang w:val="en-US" w:eastAsia="zh-CN"/>
        </w:rPr>
        <w:t>3</w:t>
      </w:r>
      <w:r>
        <w:rPr>
          <w:rFonts w:hint="eastAsia" w:ascii="仿宋" w:hAnsi="仿宋" w:eastAsia="仿宋"/>
          <w:sz w:val="30"/>
          <w:szCs w:val="30"/>
        </w:rPr>
        <w:t>元，与202</w:t>
      </w:r>
      <w:r>
        <w:rPr>
          <w:rFonts w:hint="eastAsia" w:ascii="仿宋" w:hAnsi="仿宋" w:eastAsia="仿宋"/>
          <w:sz w:val="30"/>
          <w:szCs w:val="30"/>
          <w:lang w:val="en-US" w:eastAsia="zh-CN"/>
        </w:rPr>
        <w:t>4</w:t>
      </w:r>
      <w:r>
        <w:rPr>
          <w:rFonts w:hint="eastAsia" w:ascii="仿宋" w:hAnsi="仿宋" w:eastAsia="仿宋"/>
          <w:sz w:val="30"/>
          <w:szCs w:val="30"/>
        </w:rPr>
        <w:t>年预算相比略有</w:t>
      </w:r>
      <w:r>
        <w:rPr>
          <w:rFonts w:hint="eastAsia" w:ascii="仿宋" w:hAnsi="仿宋" w:eastAsia="仿宋"/>
          <w:sz w:val="30"/>
          <w:szCs w:val="30"/>
          <w:lang w:val="en-US" w:eastAsia="zh-CN"/>
        </w:rPr>
        <w:t>增长</w:t>
      </w:r>
      <w:r>
        <w:rPr>
          <w:rFonts w:hint="eastAsia" w:ascii="仿宋" w:hAnsi="仿宋" w:eastAsia="仿宋"/>
          <w:sz w:val="30"/>
          <w:szCs w:val="30"/>
        </w:rPr>
        <w:t>，其中：</w:t>
      </w:r>
      <w:r>
        <w:rPr>
          <w:rFonts w:hint="eastAsia" w:ascii="仿宋" w:hAnsi="仿宋" w:eastAsia="仿宋"/>
          <w:sz w:val="30"/>
          <w:szCs w:val="30"/>
          <w:lang w:val="en-US" w:eastAsia="zh-CN"/>
        </w:rPr>
        <w:t>公务用车购置费0万元，</w:t>
      </w:r>
      <w:r>
        <w:rPr>
          <w:rFonts w:hint="eastAsia" w:ascii="仿宋" w:hAnsi="仿宋" w:eastAsia="仿宋"/>
          <w:sz w:val="30"/>
          <w:szCs w:val="30"/>
        </w:rPr>
        <w:t>与202</w:t>
      </w:r>
      <w:r>
        <w:rPr>
          <w:rFonts w:hint="eastAsia" w:ascii="仿宋" w:hAnsi="仿宋" w:eastAsia="仿宋"/>
          <w:sz w:val="30"/>
          <w:szCs w:val="30"/>
          <w:lang w:val="en-US" w:eastAsia="zh-CN"/>
        </w:rPr>
        <w:t>4</w:t>
      </w:r>
      <w:r>
        <w:rPr>
          <w:rFonts w:hint="eastAsia" w:ascii="仿宋" w:hAnsi="仿宋" w:eastAsia="仿宋"/>
          <w:sz w:val="30"/>
          <w:szCs w:val="30"/>
        </w:rPr>
        <w:t>年预算相比</w:t>
      </w:r>
      <w:r>
        <w:rPr>
          <w:rFonts w:hint="eastAsia" w:ascii="仿宋" w:hAnsi="仿宋" w:eastAsia="仿宋"/>
          <w:sz w:val="30"/>
          <w:szCs w:val="30"/>
          <w:lang w:val="en-US" w:eastAsia="zh-CN"/>
        </w:rPr>
        <w:t>减少</w:t>
      </w:r>
      <w:r>
        <w:rPr>
          <w:rFonts w:hint="eastAsia" w:ascii="仿宋" w:hAnsi="仿宋" w:eastAsia="仿宋"/>
          <w:sz w:val="30"/>
          <w:szCs w:val="30"/>
        </w:rPr>
        <w:t>18万元</w:t>
      </w:r>
      <w:r>
        <w:rPr>
          <w:rFonts w:hint="eastAsia" w:ascii="仿宋" w:hAnsi="仿宋" w:eastAsia="仿宋"/>
          <w:sz w:val="30"/>
          <w:szCs w:val="30"/>
          <w:lang w:eastAsia="zh-CN"/>
        </w:rPr>
        <w:t>，</w:t>
      </w:r>
      <w:r>
        <w:rPr>
          <w:rFonts w:hint="eastAsia" w:ascii="仿宋" w:hAnsi="仿宋" w:eastAsia="仿宋"/>
          <w:sz w:val="30"/>
          <w:szCs w:val="30"/>
        </w:rPr>
        <w:t>主要是</w:t>
      </w:r>
      <w:r>
        <w:rPr>
          <w:rFonts w:hint="eastAsia" w:ascii="仿宋" w:hAnsi="仿宋" w:eastAsia="仿宋"/>
          <w:sz w:val="30"/>
          <w:szCs w:val="30"/>
          <w:lang w:val="en-US" w:eastAsia="zh-CN"/>
        </w:rPr>
        <w:t>2024年</w:t>
      </w:r>
      <w:r>
        <w:rPr>
          <w:rFonts w:hint="eastAsia" w:ascii="仿宋" w:hAnsi="仿宋" w:eastAsia="仿宋"/>
          <w:sz w:val="30"/>
          <w:szCs w:val="30"/>
        </w:rPr>
        <w:t>按规定报废车辆后更新公务用车</w:t>
      </w:r>
      <w:r>
        <w:rPr>
          <w:rFonts w:hint="eastAsia" w:ascii="仿宋" w:hAnsi="仿宋" w:eastAsia="仿宋"/>
          <w:sz w:val="30"/>
          <w:szCs w:val="30"/>
          <w:lang w:eastAsia="zh-CN"/>
        </w:rPr>
        <w:t>，</w:t>
      </w:r>
      <w:r>
        <w:rPr>
          <w:rFonts w:hint="eastAsia" w:ascii="仿宋" w:hAnsi="仿宋" w:eastAsia="仿宋"/>
          <w:sz w:val="30"/>
          <w:szCs w:val="30"/>
          <w:lang w:val="en-US" w:eastAsia="zh-CN"/>
        </w:rPr>
        <w:t>2025年未更新公务用车；</w:t>
      </w:r>
      <w:r>
        <w:rPr>
          <w:rFonts w:hint="eastAsia" w:ascii="仿宋" w:hAnsi="仿宋" w:eastAsia="仿宋"/>
          <w:sz w:val="30"/>
          <w:szCs w:val="30"/>
        </w:rPr>
        <w:t>公务用车运行费</w:t>
      </w:r>
      <w:r>
        <w:rPr>
          <w:rFonts w:hint="eastAsia" w:ascii="仿宋" w:hAnsi="仿宋" w:eastAsia="仿宋"/>
          <w:sz w:val="30"/>
          <w:szCs w:val="30"/>
          <w:lang w:val="en-US" w:eastAsia="zh-CN"/>
        </w:rPr>
        <w:t>83</w:t>
      </w:r>
      <w:r>
        <w:rPr>
          <w:rFonts w:hint="eastAsia" w:ascii="仿宋" w:hAnsi="仿宋" w:eastAsia="仿宋"/>
          <w:sz w:val="30"/>
          <w:szCs w:val="30"/>
        </w:rPr>
        <w:t>万元，与202</w:t>
      </w:r>
      <w:r>
        <w:rPr>
          <w:rFonts w:hint="eastAsia" w:ascii="仿宋" w:hAnsi="仿宋" w:eastAsia="仿宋"/>
          <w:sz w:val="30"/>
          <w:szCs w:val="30"/>
          <w:lang w:val="en-US" w:eastAsia="zh-CN"/>
        </w:rPr>
        <w:t>4</w:t>
      </w:r>
      <w:r>
        <w:rPr>
          <w:rFonts w:hint="eastAsia" w:ascii="仿宋" w:hAnsi="仿宋" w:eastAsia="仿宋"/>
          <w:sz w:val="30"/>
          <w:szCs w:val="30"/>
        </w:rPr>
        <w:t>年预算相比</w:t>
      </w:r>
      <w:r>
        <w:rPr>
          <w:rFonts w:hint="eastAsia" w:ascii="仿宋" w:hAnsi="仿宋" w:eastAsia="仿宋"/>
          <w:sz w:val="30"/>
          <w:szCs w:val="30"/>
          <w:lang w:val="en-US" w:eastAsia="zh-CN"/>
        </w:rPr>
        <w:t>增长21</w:t>
      </w:r>
      <w:r>
        <w:rPr>
          <w:rFonts w:hint="eastAsia" w:ascii="仿宋" w:hAnsi="仿宋" w:eastAsia="仿宋"/>
          <w:sz w:val="30"/>
          <w:szCs w:val="30"/>
        </w:rPr>
        <w:t>万元，主要是公务车辆的维护修理费大幅度增加</w:t>
      </w:r>
      <w:r>
        <w:rPr>
          <w:rFonts w:hint="eastAsia" w:ascii="仿宋" w:hAnsi="仿宋" w:eastAsia="仿宋"/>
          <w:sz w:val="30"/>
          <w:szCs w:val="30"/>
          <w:lang w:eastAsia="zh-CN"/>
        </w:rPr>
        <w:t>。</w:t>
      </w:r>
    </w:p>
    <w:p w14:paraId="5757FE7C">
      <w:pPr>
        <w:ind w:firstLine="600" w:firstLineChars="200"/>
        <w:rPr>
          <w:rFonts w:ascii="仿宋" w:hAnsi="仿宋" w:eastAsia="仿宋"/>
          <w:sz w:val="30"/>
          <w:szCs w:val="30"/>
        </w:rPr>
      </w:pPr>
      <w:r>
        <w:rPr>
          <w:rFonts w:hint="eastAsia" w:ascii="仿宋" w:hAnsi="仿宋" w:eastAsia="仿宋"/>
          <w:sz w:val="30"/>
          <w:szCs w:val="30"/>
        </w:rPr>
        <w:t>三、公务接待费4万元，与202</w:t>
      </w:r>
      <w:r>
        <w:rPr>
          <w:rFonts w:hint="eastAsia" w:ascii="仿宋" w:hAnsi="仿宋" w:eastAsia="仿宋"/>
          <w:sz w:val="30"/>
          <w:szCs w:val="30"/>
          <w:lang w:val="en-US" w:eastAsia="zh-CN"/>
        </w:rPr>
        <w:t>4</w:t>
      </w:r>
      <w:r>
        <w:rPr>
          <w:rFonts w:hint="eastAsia" w:ascii="仿宋" w:hAnsi="仿宋" w:eastAsia="仿宋"/>
          <w:sz w:val="30"/>
          <w:szCs w:val="30"/>
        </w:rPr>
        <w:t>年预算持平，主要是继续严控公务接待数量和费用预算。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870"/>
    <w:rsid w:val="00102870"/>
    <w:rsid w:val="00197E49"/>
    <w:rsid w:val="00337B28"/>
    <w:rsid w:val="00395DFF"/>
    <w:rsid w:val="008302C7"/>
    <w:rsid w:val="0098797A"/>
    <w:rsid w:val="00FC3D2C"/>
    <w:rsid w:val="15F555B1"/>
    <w:rsid w:val="1F6A2B6C"/>
    <w:rsid w:val="2C975E99"/>
    <w:rsid w:val="3637018A"/>
    <w:rsid w:val="422221AD"/>
    <w:rsid w:val="4AA03036"/>
    <w:rsid w:val="591668B1"/>
    <w:rsid w:val="5A3B6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A6A54-A559-41C8-8E82-9EF7CC6BCEF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363</Words>
  <Characters>400</Characters>
  <Lines>2</Lines>
  <Paragraphs>1</Paragraphs>
  <TotalTime>2</TotalTime>
  <ScaleCrop>false</ScaleCrop>
  <LinksUpToDate>false</LinksUpToDate>
  <CharactersWithSpaces>409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2024-05-11T01:32:00Z</dcterms:created>
  <dc:creator>周泉</dc:creator>
  <cp:lastModifiedBy>HYH</cp:lastModifiedBy>
  <dcterms:modified xsi:type="dcterms:W3CDTF">2025-03-13T07:49:58Z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eyJoZGlkIjoiNzI4NWI5YzM3MzU1ZmRjMmMzM2NiYWU4YzU5YTFiMWQifQ==</vt:lpwstr>
  </property>
  <property fmtid="{D5CDD505-2E9C-101B-9397-08002B2CF9AE}" pid="3" name="KSOProductBuildVer">
    <vt:lpwstr>2052-12.1.0.20305</vt:lpwstr>
  </property>
  <property fmtid="{D5CDD505-2E9C-101B-9397-08002B2CF9AE}" pid="4" name="ICV">
    <vt:lpwstr>99921D3EE81243C9AB532E0F202A8187_13</vt:lpwstr>
  </property>
</Properties>
</file>