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000000"/>
          <w:sz w:val="44"/>
          <w:szCs w:val="44"/>
        </w:rPr>
      </w:pPr>
    </w:p>
    <w:p>
      <w:pPr>
        <w:spacing w:line="6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天津港保税区管委会关于印发《天津港保税区职工公寓管理办法》的通知</w:t>
      </w:r>
    </w:p>
    <w:p>
      <w:pPr>
        <w:spacing w:line="500" w:lineRule="exact"/>
        <w:jc w:val="center"/>
        <w:rPr>
          <w:rFonts w:ascii="仿宋_GB2312" w:eastAsia="仿宋_GB2312"/>
          <w:color w:val="000000"/>
          <w:sz w:val="32"/>
          <w:szCs w:val="32"/>
        </w:rPr>
      </w:pPr>
    </w:p>
    <w:p>
      <w:pPr>
        <w:spacing w:line="500" w:lineRule="exact"/>
        <w:rPr>
          <w:rFonts w:ascii="仿宋_GB2312" w:eastAsia="仿宋_GB2312"/>
          <w:color w:val="000000"/>
          <w:sz w:val="32"/>
          <w:szCs w:val="32"/>
        </w:rPr>
      </w:pPr>
      <w:r>
        <w:rPr>
          <w:rFonts w:hint="eastAsia" w:ascii="仿宋_GB2312" w:eastAsia="仿宋_GB2312"/>
          <w:color w:val="000000"/>
          <w:sz w:val="32"/>
          <w:szCs w:val="32"/>
        </w:rPr>
        <w:t>各有关部门：</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因法定机构改革，部门职能职责变化，现结合工作实际，对原《天津港保税区职工公寓管理办法》文件予以修订印发，请遵照执行。</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特此通知。</w:t>
      </w:r>
    </w:p>
    <w:p>
      <w:pPr>
        <w:spacing w:line="440" w:lineRule="exact"/>
        <w:ind w:firstLine="640" w:firstLineChars="200"/>
        <w:rPr>
          <w:rFonts w:ascii="仿宋_GB2312" w:eastAsia="仿宋_GB2312"/>
          <w:color w:val="000000"/>
          <w:sz w:val="32"/>
          <w:szCs w:val="32"/>
        </w:rPr>
      </w:pPr>
    </w:p>
    <w:p>
      <w:pPr>
        <w:spacing w:line="440" w:lineRule="exact"/>
        <w:ind w:left="1985" w:leftChars="808" w:right="1046" w:rightChars="498" w:hanging="288" w:hangingChars="90"/>
        <w:rPr>
          <w:rFonts w:ascii="仿宋_GB2312" w:eastAsia="仿宋_GB2312"/>
          <w:color w:val="000000"/>
          <w:sz w:val="32"/>
          <w:szCs w:val="32"/>
        </w:rPr>
      </w:pPr>
    </w:p>
    <w:p>
      <w:pPr>
        <w:spacing w:line="440" w:lineRule="exact"/>
        <w:ind w:left="1985" w:leftChars="808" w:right="1046" w:rightChars="498" w:hanging="288" w:hangingChars="90"/>
        <w:rPr>
          <w:rFonts w:ascii="仿宋_GB2312" w:eastAsia="仿宋_GB2312"/>
          <w:color w:val="000000"/>
          <w:sz w:val="32"/>
          <w:szCs w:val="32"/>
        </w:rPr>
      </w:pPr>
    </w:p>
    <w:p>
      <w:pPr>
        <w:spacing w:line="440" w:lineRule="exact"/>
        <w:ind w:left="1985" w:leftChars="808" w:right="1046" w:rightChars="498" w:hanging="288" w:hangingChars="90"/>
        <w:rPr>
          <w:rFonts w:ascii="仿宋_GB2312" w:eastAsia="仿宋_GB2312"/>
          <w:color w:val="000000"/>
          <w:sz w:val="32"/>
          <w:szCs w:val="32"/>
        </w:rPr>
      </w:pPr>
    </w:p>
    <w:p>
      <w:pPr>
        <w:tabs>
          <w:tab w:val="left" w:pos="7513"/>
          <w:tab w:val="left" w:pos="7655"/>
        </w:tabs>
        <w:spacing w:line="440" w:lineRule="exact"/>
        <w:ind w:firstLine="4675" w:firstLineChars="1461"/>
        <w:jc w:val="left"/>
        <w:rPr>
          <w:rFonts w:ascii="仿宋_GB2312" w:eastAsia="仿宋_GB2312"/>
          <w:color w:val="000000"/>
          <w:sz w:val="32"/>
          <w:szCs w:val="32"/>
        </w:rPr>
      </w:pPr>
      <w:r>
        <w:rPr>
          <w:rFonts w:hint="eastAsia" w:ascii="仿宋_GB2312" w:eastAsia="仿宋_GB2312"/>
          <w:color w:val="000000"/>
          <w:sz w:val="32"/>
          <w:szCs w:val="32"/>
        </w:rPr>
        <w:t xml:space="preserve">    2020年7月1日</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（此件主动公开）</w:t>
      </w:r>
      <w:r>
        <w:rPr>
          <w:rFonts w:ascii="仿宋_GB2312" w:eastAsia="仿宋_GB2312"/>
          <w:color w:val="000000"/>
          <w:sz w:val="32"/>
          <w:szCs w:val="32"/>
        </w:rPr>
        <w:br w:type="page"/>
      </w:r>
    </w:p>
    <w:p>
      <w:pPr>
        <w:spacing w:line="640" w:lineRule="exact"/>
        <w:jc w:val="center"/>
        <w:outlineLvl w:val="0"/>
        <w:rPr>
          <w:rFonts w:ascii="方正小标宋简体" w:hAnsi="华文中宋" w:eastAsia="方正小标宋简体" w:cs="宋体"/>
          <w:bCs/>
          <w:kern w:val="36"/>
          <w:sz w:val="44"/>
          <w:szCs w:val="44"/>
          <w:shd w:val="clear" w:color="auto" w:fill="FFFFFF"/>
        </w:rPr>
      </w:pPr>
      <w:r>
        <w:rPr>
          <w:rFonts w:hint="eastAsia" w:ascii="方正小标宋简体" w:hAnsi="华文中宋" w:eastAsia="方正小标宋简体" w:cs="宋体"/>
          <w:bCs/>
          <w:kern w:val="36"/>
          <w:sz w:val="44"/>
          <w:szCs w:val="44"/>
          <w:shd w:val="clear" w:color="auto" w:fill="FFFFFF"/>
        </w:rPr>
        <w:t>天津港保税区职工公寓管理办法</w:t>
      </w:r>
    </w:p>
    <w:p>
      <w:pPr>
        <w:tabs>
          <w:tab w:val="left" w:pos="8190"/>
        </w:tabs>
        <w:spacing w:line="400" w:lineRule="exact"/>
        <w:jc w:val="center"/>
        <w:rPr>
          <w:rFonts w:ascii="仿宋_GB2312" w:hAnsi="宋体" w:eastAsia="仿宋_GB2312" w:cs="宋体"/>
          <w:b/>
          <w:bCs/>
          <w:kern w:val="0"/>
          <w:sz w:val="32"/>
          <w:szCs w:val="32"/>
        </w:rPr>
      </w:pPr>
    </w:p>
    <w:p>
      <w:pPr>
        <w:spacing w:line="560" w:lineRule="exact"/>
        <w:jc w:val="center"/>
        <w:rPr>
          <w:rFonts w:ascii="黑体" w:hAnsi="黑体" w:eastAsia="黑体" w:cs="宋体"/>
          <w:b/>
          <w:kern w:val="0"/>
          <w:sz w:val="32"/>
          <w:szCs w:val="32"/>
        </w:rPr>
      </w:pPr>
      <w:r>
        <w:rPr>
          <w:rFonts w:hint="eastAsia" w:ascii="黑体" w:hAnsi="黑体" w:eastAsia="黑体" w:cs="宋体"/>
          <w:b/>
          <w:kern w:val="0"/>
          <w:sz w:val="32"/>
          <w:szCs w:val="32"/>
        </w:rPr>
        <w:t xml:space="preserve">  第一章 总 则</w:t>
      </w:r>
    </w:p>
    <w:p>
      <w:pPr>
        <w:spacing w:line="560" w:lineRule="exact"/>
        <w:ind w:firstLine="643" w:firstLineChars="200"/>
        <w:rPr>
          <w:rFonts w:ascii="仿宋_GB2312" w:hAnsi="宋体" w:eastAsia="仿宋_GB2312"/>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sz w:val="32"/>
          <w:szCs w:val="32"/>
        </w:rPr>
        <w:t>为进一步优化天津港保税区、空港经济区（下称保税区）的投资环境，规范职工公寓建设、运营和管理，</w:t>
      </w:r>
      <w:r>
        <w:rPr>
          <w:rFonts w:hint="eastAsia" w:ascii="仿宋_GB2312" w:hAnsi="宋体" w:eastAsia="仿宋_GB2312" w:cs="宋体"/>
          <w:kern w:val="0"/>
          <w:sz w:val="32"/>
          <w:szCs w:val="32"/>
        </w:rPr>
        <w:t>建立长效机制，</w:t>
      </w:r>
      <w:r>
        <w:rPr>
          <w:rFonts w:hint="eastAsia" w:ascii="仿宋_GB2312" w:hAnsi="宋体" w:eastAsia="仿宋_GB2312"/>
          <w:sz w:val="32"/>
          <w:szCs w:val="32"/>
        </w:rPr>
        <w:t>体现以人为本，构建和谐区域，</w:t>
      </w:r>
      <w:r>
        <w:rPr>
          <w:rFonts w:hint="eastAsia" w:ascii="仿宋_GB2312" w:hAnsi="宋体" w:eastAsia="仿宋_GB2312" w:cs="宋体"/>
          <w:kern w:val="0"/>
          <w:sz w:val="32"/>
          <w:szCs w:val="32"/>
        </w:rPr>
        <w:t>制定本办法。</w:t>
      </w:r>
    </w:p>
    <w:p>
      <w:pPr>
        <w:tabs>
          <w:tab w:val="left" w:pos="7560"/>
          <w:tab w:val="left" w:pos="7920"/>
          <w:tab w:val="left" w:pos="8100"/>
          <w:tab w:val="left" w:pos="8280"/>
        </w:tabs>
        <w:spacing w:line="560" w:lineRule="exact"/>
        <w:ind w:firstLine="643" w:firstLineChars="200"/>
        <w:rPr>
          <w:rFonts w:ascii="仿宋_GB2312" w:hAnsi="宋体" w:eastAsia="仿宋_GB2312"/>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xml:space="preserve"> 本办法适用于保税区管辖区域内管委会投资建设的职工公寓</w:t>
      </w:r>
      <w:r>
        <w:rPr>
          <w:rFonts w:hint="eastAsia" w:ascii="仿宋_GB2312" w:hAnsi="宋体" w:eastAsia="仿宋_GB2312"/>
          <w:sz w:val="32"/>
          <w:szCs w:val="32"/>
        </w:rPr>
        <w:t>，不含企业自建自用公寓。</w:t>
      </w:r>
    </w:p>
    <w:p>
      <w:pPr>
        <w:spacing w:line="560" w:lineRule="exact"/>
        <w:ind w:firstLine="643" w:firstLineChars="200"/>
        <w:rPr>
          <w:rFonts w:ascii="仿宋_GB2312" w:hAnsi="宋体" w:eastAsia="仿宋_GB2312"/>
          <w:sz w:val="32"/>
          <w:szCs w:val="32"/>
        </w:rPr>
      </w:pPr>
      <w:r>
        <w:rPr>
          <w:rFonts w:hint="eastAsia" w:ascii="仿宋_GB2312" w:hAnsi="宋体" w:eastAsia="仿宋_GB2312" w:cs="宋体"/>
          <w:b/>
          <w:bCs/>
          <w:kern w:val="0"/>
          <w:sz w:val="32"/>
          <w:szCs w:val="32"/>
        </w:rPr>
        <w:t xml:space="preserve">第三条 </w:t>
      </w:r>
      <w:r>
        <w:rPr>
          <w:rFonts w:hint="eastAsia" w:ascii="仿宋_GB2312" w:hAnsi="宋体" w:eastAsia="仿宋_GB2312" w:cs="宋体"/>
          <w:kern w:val="0"/>
          <w:sz w:val="32"/>
          <w:szCs w:val="32"/>
        </w:rPr>
        <w:t>本办法所称职工公寓是指管委会</w:t>
      </w:r>
      <w:r>
        <w:rPr>
          <w:rFonts w:hint="eastAsia" w:ascii="仿宋_GB2312" w:hAnsi="宋体" w:eastAsia="仿宋_GB2312"/>
          <w:sz w:val="32"/>
          <w:szCs w:val="32"/>
        </w:rPr>
        <w:t>提供扶持，限定房型、面积和租金标准，向保税区注册企业以出租方式提供的具有保障性质的政策性住房，主要包括蓝、白领公寓和人才公寓。</w:t>
      </w:r>
    </w:p>
    <w:p>
      <w:pPr>
        <w:spacing w:line="560" w:lineRule="exact"/>
        <w:ind w:firstLine="643" w:firstLineChars="200"/>
        <w:rPr>
          <w:rFonts w:ascii="仿宋_GB2312" w:hAnsi="宋体" w:eastAsia="仿宋_GB2312"/>
          <w:sz w:val="32"/>
          <w:szCs w:val="32"/>
        </w:rPr>
      </w:pPr>
      <w:r>
        <w:rPr>
          <w:rFonts w:hint="eastAsia" w:ascii="仿宋_GB2312" w:hAnsi="宋体" w:eastAsia="仿宋_GB2312" w:cs="宋体"/>
          <w:b/>
          <w:bCs/>
          <w:kern w:val="0"/>
          <w:sz w:val="32"/>
          <w:szCs w:val="32"/>
        </w:rPr>
        <w:t xml:space="preserve">第四条 </w:t>
      </w:r>
      <w:r>
        <w:rPr>
          <w:rFonts w:hint="eastAsia" w:ascii="仿宋_GB2312" w:hAnsi="宋体" w:eastAsia="仿宋_GB2312"/>
          <w:sz w:val="32"/>
          <w:szCs w:val="32"/>
        </w:rPr>
        <w:t>保税区服务中心是职工公寓的监管部门，负责指导、协调、监督公寓产权部门落实安全主体责任及职工公寓的运营和管理工作。</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人力资源和社会保障部门负责人才引进、人才公寓政策审核、劳动用工规划，并与保税区工会调研企业对人才公寓的需求，及时提出人才公寓建设的建议和意见。</w:t>
      </w:r>
    </w:p>
    <w:p>
      <w:pPr>
        <w:spacing w:line="560" w:lineRule="exact"/>
        <w:ind w:firstLine="643" w:firstLineChars="200"/>
        <w:outlineLvl w:val="0"/>
        <w:rPr>
          <w:rFonts w:ascii="仿宋_GB2312" w:eastAsia="仿宋_GB2312"/>
          <w:sz w:val="32"/>
          <w:szCs w:val="32"/>
        </w:rPr>
      </w:pPr>
      <w:r>
        <w:rPr>
          <w:rFonts w:hint="eastAsia" w:ascii="仿宋_GB2312" w:hAnsi="宋体" w:eastAsia="仿宋_GB2312" w:cs="宋体"/>
          <w:b/>
          <w:bCs/>
          <w:kern w:val="0"/>
          <w:sz w:val="32"/>
          <w:szCs w:val="32"/>
        </w:rPr>
        <w:t xml:space="preserve">第五条 </w:t>
      </w:r>
      <w:r>
        <w:rPr>
          <w:rFonts w:hint="eastAsia" w:ascii="仿宋_GB2312" w:hAnsi="宋体" w:eastAsia="仿宋_GB2312"/>
          <w:sz w:val="32"/>
          <w:szCs w:val="32"/>
        </w:rPr>
        <w:t>规划建设管理部门负责制定职工公寓整体规划，拟定规划建设标准，审批规划建设方案，指导、监督、协调职工公寓能源配套等相关工作。按照现行要求，</w:t>
      </w:r>
      <w:r>
        <w:rPr>
          <w:rFonts w:hint="eastAsia" w:ascii="仿宋_GB2312" w:eastAsia="仿宋_GB2312"/>
          <w:sz w:val="32"/>
          <w:szCs w:val="32"/>
        </w:rPr>
        <w:t>职工公寓规划用地性质为商业服务业用地或居住用地，能源配套运用价格参考住宅有关规定执行。</w:t>
      </w:r>
    </w:p>
    <w:p>
      <w:pPr>
        <w:spacing w:line="560" w:lineRule="exact"/>
        <w:ind w:firstLine="643" w:firstLineChars="200"/>
        <w:jc w:val="left"/>
        <w:rPr>
          <w:rFonts w:ascii="仿宋_GB2312" w:hAnsi="宋体" w:eastAsia="仿宋_GB2312"/>
          <w:sz w:val="32"/>
          <w:szCs w:val="32"/>
        </w:rPr>
      </w:pPr>
      <w:r>
        <w:rPr>
          <w:rFonts w:hint="eastAsia" w:ascii="仿宋_GB2312" w:hAnsi="宋体" w:eastAsia="仿宋_GB2312" w:cs="宋体"/>
          <w:b/>
          <w:bCs/>
          <w:kern w:val="0"/>
          <w:sz w:val="32"/>
          <w:szCs w:val="32"/>
        </w:rPr>
        <w:t xml:space="preserve">第六条 </w:t>
      </w:r>
      <w:r>
        <w:rPr>
          <w:rFonts w:hint="eastAsia" w:ascii="仿宋_GB2312" w:hAnsi="宋体" w:eastAsia="仿宋_GB2312"/>
          <w:sz w:val="32"/>
          <w:szCs w:val="32"/>
        </w:rPr>
        <w:t>发展和改革局（物价局）负责制定职工公寓租金指导价格，并定期发布。</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海港保税区管理局负责协助保税区服务中心做好海港保税区科技公寓管理、服务和监督工作。</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应急管理局、社会发展局、城环局、市场局、公安派出所、应急救援支队等有关部门负责职工公寓的行业指导和执法监督，发挥监管职能并延伸服务。</w:t>
      </w:r>
    </w:p>
    <w:p>
      <w:pPr>
        <w:spacing w:line="560" w:lineRule="exact"/>
        <w:jc w:val="center"/>
        <w:rPr>
          <w:rFonts w:ascii="黑体" w:hAnsi="黑体" w:eastAsia="黑体" w:cs="宋体"/>
          <w:b/>
          <w:kern w:val="0"/>
          <w:sz w:val="32"/>
          <w:szCs w:val="32"/>
        </w:rPr>
      </w:pPr>
      <w:r>
        <w:rPr>
          <w:rFonts w:hint="eastAsia" w:ascii="黑体" w:hAnsi="黑体" w:eastAsia="黑体" w:cs="宋体"/>
          <w:b/>
          <w:kern w:val="0"/>
          <w:sz w:val="32"/>
          <w:szCs w:val="32"/>
        </w:rPr>
        <w:t>第二章 资格认定</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第七条 </w:t>
      </w:r>
      <w:r>
        <w:rPr>
          <w:rFonts w:hint="eastAsia" w:ascii="仿宋_GB2312" w:hAnsi="宋体" w:eastAsia="仿宋_GB2312" w:cs="宋体"/>
          <w:kern w:val="0"/>
          <w:sz w:val="32"/>
          <w:szCs w:val="32"/>
        </w:rPr>
        <w:t>保税区财政局、服务中心负责职工公寓资格认定工作。经认定的职工公寓，可享受本办法规定的财政补贴。</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第八条 </w:t>
      </w:r>
      <w:r>
        <w:rPr>
          <w:rFonts w:hint="eastAsia" w:ascii="仿宋_GB2312" w:hAnsi="宋体" w:eastAsia="仿宋_GB2312" w:cs="宋体"/>
          <w:kern w:val="0"/>
          <w:sz w:val="32"/>
          <w:szCs w:val="32"/>
        </w:rPr>
        <w:t>职工公寓资格认定的基本条件：</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1.完成了工商登记注册； </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2.具备完整的竣工验收和产权登记手续；</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3.配备基本的生活配套设施；（新增）</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4.全部设施用于为保税区注册企业提供服务；</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5.按照公益、微利的原则运营；</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6.具备完善的公寓管理制度；</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7.公寓实行专业化的物业管理；</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8.具有应对突发事件预防和处理的应急预案；</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9.建立公寓运营成本核算体系；</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10.全面执行本办法的相关规定。</w:t>
      </w:r>
    </w:p>
    <w:p>
      <w:pPr>
        <w:spacing w:line="560" w:lineRule="exact"/>
        <w:ind w:firstLine="643" w:firstLineChars="200"/>
        <w:jc w:val="left"/>
        <w:rPr>
          <w:rFonts w:ascii="仿宋_GB2312" w:hAnsi="宋体" w:eastAsia="仿宋_GB2312" w:cs="宋体"/>
          <w:b/>
          <w:kern w:val="0"/>
          <w:sz w:val="32"/>
          <w:szCs w:val="32"/>
        </w:rPr>
      </w:pPr>
      <w:r>
        <w:rPr>
          <w:rFonts w:hint="eastAsia" w:ascii="仿宋_GB2312" w:hAnsi="宋体" w:eastAsia="仿宋_GB2312" w:cs="宋体"/>
          <w:b/>
          <w:bCs/>
          <w:kern w:val="0"/>
          <w:sz w:val="32"/>
          <w:szCs w:val="32"/>
        </w:rPr>
        <w:t xml:space="preserve">第九条 </w:t>
      </w:r>
      <w:r>
        <w:rPr>
          <w:rFonts w:hint="eastAsia" w:ascii="仿宋_GB2312" w:hAnsi="宋体" w:eastAsia="仿宋_GB2312" w:cs="宋体"/>
          <w:kern w:val="0"/>
          <w:sz w:val="32"/>
          <w:szCs w:val="32"/>
        </w:rPr>
        <w:t>职工公寓物业服务企业应具备以下条件</w:t>
      </w:r>
      <w:r>
        <w:rPr>
          <w:rFonts w:hint="eastAsia" w:ascii="仿宋_GB2312" w:hAnsi="宋体" w:eastAsia="仿宋_GB2312" w:cs="宋体"/>
          <w:b/>
          <w:kern w:val="0"/>
          <w:sz w:val="32"/>
          <w:szCs w:val="32"/>
        </w:rPr>
        <w:t>：</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1.拥有国内独立法人资格；</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2.具备建设部颁发的物业管理二级及以上（含二级）资质； </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3.具有两年及以上大型公寓或相关项目的综合管理经验、能力和业绩；</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4.具有完备的物业服务标准和实施细则。</w:t>
      </w:r>
    </w:p>
    <w:p>
      <w:pPr>
        <w:spacing w:line="560" w:lineRule="exact"/>
        <w:ind w:firstLine="643" w:firstLineChars="200"/>
        <w:rPr>
          <w:rFonts w:ascii="仿宋_GB2312" w:hAnsi="宋体" w:eastAsia="仿宋_GB2312"/>
          <w:sz w:val="32"/>
          <w:szCs w:val="32"/>
        </w:rPr>
      </w:pPr>
      <w:r>
        <w:rPr>
          <w:rFonts w:hint="eastAsia" w:ascii="仿宋_GB2312" w:hAnsi="宋体" w:eastAsia="仿宋_GB2312" w:cs="宋体"/>
          <w:b/>
          <w:bCs/>
          <w:kern w:val="0"/>
          <w:sz w:val="32"/>
          <w:szCs w:val="32"/>
        </w:rPr>
        <w:t>第十条</w:t>
      </w:r>
      <w:r>
        <w:rPr>
          <w:rFonts w:hint="eastAsia" w:ascii="仿宋_GB2312" w:hAnsi="宋体" w:eastAsia="仿宋_GB2312" w:cs="宋体"/>
          <w:kern w:val="0"/>
          <w:sz w:val="32"/>
          <w:szCs w:val="32"/>
        </w:rPr>
        <w:t xml:space="preserve"> </w:t>
      </w:r>
      <w:r>
        <w:rPr>
          <w:rFonts w:hint="eastAsia" w:ascii="仿宋_GB2312" w:hAnsi="宋体" w:eastAsia="仿宋_GB2312"/>
          <w:sz w:val="32"/>
          <w:szCs w:val="32"/>
        </w:rPr>
        <w:t>本办法发布前已建或在建的职工公寓，因客观条件限制部分设施无法达标的，应书面说明情况并报保税区服务中心审核，经管委会批准后，可申请职工公寓资格认定。</w:t>
      </w:r>
    </w:p>
    <w:p>
      <w:pPr>
        <w:spacing w:line="560" w:lineRule="exact"/>
        <w:jc w:val="center"/>
        <w:rPr>
          <w:rFonts w:ascii="黑体" w:hAnsi="黑体" w:eastAsia="黑体" w:cs="宋体"/>
          <w:b/>
          <w:kern w:val="0"/>
          <w:sz w:val="32"/>
          <w:szCs w:val="32"/>
        </w:rPr>
      </w:pPr>
      <w:r>
        <w:rPr>
          <w:rFonts w:hint="eastAsia" w:ascii="黑体" w:hAnsi="黑体" w:eastAsia="黑体" w:cs="宋体"/>
          <w:b/>
          <w:kern w:val="0"/>
          <w:sz w:val="32"/>
          <w:szCs w:val="32"/>
        </w:rPr>
        <w:t>第三章 运营管理</w:t>
      </w:r>
    </w:p>
    <w:p>
      <w:pPr>
        <w:spacing w:line="560" w:lineRule="exact"/>
        <w:ind w:firstLine="643"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 xml:space="preserve">第十一条 </w:t>
      </w:r>
      <w:r>
        <w:rPr>
          <w:rFonts w:hint="eastAsia" w:ascii="仿宋_GB2312" w:hAnsi="宋体" w:eastAsia="仿宋_GB2312"/>
          <w:sz w:val="32"/>
          <w:szCs w:val="32"/>
        </w:rPr>
        <w:t>保税区服务中心负责监督职工公寓公益性设施的运营管理。</w:t>
      </w:r>
    </w:p>
    <w:p>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xml:space="preserve"> 职工公寓应采取只出租不出售的运营模式，出租对象为保税区注册经营企业。</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第十三条 </w:t>
      </w:r>
      <w:r>
        <w:rPr>
          <w:rFonts w:hint="eastAsia" w:ascii="仿宋_GB2312" w:hAnsi="宋体" w:eastAsia="仿宋_GB2312" w:cs="宋体"/>
          <w:kern w:val="0"/>
          <w:sz w:val="32"/>
          <w:szCs w:val="32"/>
        </w:rPr>
        <w:t>企业与职工必须按劳动法的规定签订劳动合同，承租期不得超过劳动合同约定的有效期限。</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第十四条 </w:t>
      </w:r>
      <w:r>
        <w:rPr>
          <w:rFonts w:hint="eastAsia" w:ascii="仿宋_GB2312" w:hAnsi="宋体" w:eastAsia="仿宋_GB2312" w:cs="宋体"/>
          <w:kern w:val="0"/>
          <w:sz w:val="32"/>
          <w:szCs w:val="32"/>
        </w:rPr>
        <w:t xml:space="preserve">入住公寓的企业须按照公寓相关规定及程序办理入住并交纳相关费用。  </w:t>
      </w:r>
    </w:p>
    <w:p>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第十五条</w:t>
      </w:r>
      <w:r>
        <w:rPr>
          <w:rFonts w:hint="eastAsia" w:ascii="仿宋_GB2312" w:hAnsi="宋体" w:eastAsia="仿宋_GB2312" w:cs="宋体"/>
          <w:kern w:val="0"/>
          <w:sz w:val="32"/>
          <w:szCs w:val="32"/>
        </w:rPr>
        <w:t xml:space="preserve"> 申请入住公寓人员须通过公寓产权单位、公安机关审查认证：无违法犯罪记录、无任何精神及传染疾病、曾入住其他公寓职工且纪录良好，入住人员因以上原因所造成一切后果由用工企业承担。</w:t>
      </w:r>
    </w:p>
    <w:p>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第十六条 </w:t>
      </w:r>
      <w:r>
        <w:rPr>
          <w:rFonts w:hint="eastAsia" w:ascii="仿宋_GB2312" w:hAnsi="宋体" w:eastAsia="仿宋_GB2312" w:cs="宋体"/>
          <w:kern w:val="0"/>
          <w:sz w:val="32"/>
          <w:szCs w:val="32"/>
        </w:rPr>
        <w:t>入住保税区职工公寓人员须自觉维护公寓安全、公共卫生，遵守法律法规，对违反公寓管理相关规定的人员，公寓产权部门及公寓物业服务企业有权责令其限期整改、拒不改正的可限时责令其退出公寓。</w:t>
      </w:r>
    </w:p>
    <w:p>
      <w:pPr>
        <w:spacing w:line="560" w:lineRule="exact"/>
        <w:ind w:firstLine="643" w:firstLineChars="200"/>
        <w:rPr>
          <w:rFonts w:ascii="仿宋_GB2312" w:hAnsi="宋体" w:eastAsia="仿宋_GB2312"/>
          <w:sz w:val="32"/>
          <w:szCs w:val="32"/>
        </w:rPr>
      </w:pPr>
      <w:r>
        <w:rPr>
          <w:rFonts w:hint="eastAsia" w:ascii="仿宋_GB2312" w:hAnsi="宋体" w:eastAsia="仿宋_GB2312" w:cs="宋体"/>
          <w:b/>
          <w:bCs/>
          <w:kern w:val="0"/>
          <w:sz w:val="32"/>
          <w:szCs w:val="32"/>
        </w:rPr>
        <w:t>第十七条</w:t>
      </w:r>
      <w:r>
        <w:rPr>
          <w:rFonts w:hint="eastAsia" w:ascii="仿宋_GB2312" w:hAnsi="宋体" w:eastAsia="仿宋_GB2312" w:cs="宋体"/>
          <w:kern w:val="0"/>
          <w:sz w:val="32"/>
          <w:szCs w:val="32"/>
        </w:rPr>
        <w:t xml:space="preserve"> 职工公寓根据市场规律，应按照成本价或微利的原则运营。</w:t>
      </w:r>
      <w:r>
        <w:rPr>
          <w:rFonts w:hint="eastAsia" w:ascii="仿宋_GB2312" w:hAnsi="宋体" w:eastAsia="仿宋_GB2312"/>
          <w:sz w:val="32"/>
          <w:szCs w:val="32"/>
        </w:rPr>
        <w:t>职工公寓执行价格不超过发改局（物价局）公布的职工公寓租金指导价格10%。公寓产权部门对需涨幅房租价格的，必须报管委会有关职能部门批准，方可调整房租价格。</w:t>
      </w:r>
    </w:p>
    <w:p>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第十八条 </w:t>
      </w:r>
      <w:r>
        <w:rPr>
          <w:rFonts w:hint="eastAsia" w:ascii="仿宋_GB2312" w:hAnsi="宋体" w:eastAsia="仿宋_GB2312" w:cs="宋体"/>
          <w:kern w:val="0"/>
          <w:sz w:val="32"/>
          <w:szCs w:val="32"/>
        </w:rPr>
        <w:t>公寓的公益性设施由公寓的产权方负责维护，物业费及能源费由管委会100%负责支付。</w:t>
      </w:r>
    </w:p>
    <w:p>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第十九条</w:t>
      </w:r>
      <w:r>
        <w:rPr>
          <w:rFonts w:hint="eastAsia" w:ascii="仿宋_GB2312" w:hAnsi="宋体" w:eastAsia="仿宋_GB2312" w:cs="宋体"/>
          <w:kern w:val="0"/>
          <w:sz w:val="32"/>
          <w:szCs w:val="32"/>
        </w:rPr>
        <w:t xml:space="preserve"> 公寓的准公益性的商业配套服务项目房租、物业费、能源费按照合理使用标准给予经营单位50%补贴。公寓项目入住率在50%以下的（含50%），准公益性的商业配套服务项目免房租,物业费、能源费按照合理使用标准给予经营单位50%补贴。减免补贴部分由管委会负责支付。</w:t>
      </w:r>
    </w:p>
    <w:p>
      <w:pPr>
        <w:spacing w:line="560" w:lineRule="exact"/>
        <w:ind w:firstLine="643" w:firstLineChars="200"/>
        <w:rPr>
          <w:rFonts w:ascii="仿宋_GB2312" w:eastAsia="仿宋_GB2312"/>
          <w:sz w:val="32"/>
          <w:szCs w:val="32"/>
        </w:rPr>
      </w:pPr>
      <w:r>
        <w:rPr>
          <w:rFonts w:hint="eastAsia" w:ascii="仿宋_GB2312" w:hAnsi="宋体" w:eastAsia="仿宋_GB2312" w:cs="宋体"/>
          <w:b/>
          <w:bCs/>
          <w:kern w:val="0"/>
          <w:sz w:val="32"/>
          <w:szCs w:val="32"/>
        </w:rPr>
        <w:t>第二十条</w:t>
      </w:r>
      <w:r>
        <w:rPr>
          <w:rFonts w:hint="eastAsia" w:ascii="仿宋_GB2312" w:hAnsi="宋体" w:eastAsia="仿宋_GB2312" w:cs="宋体"/>
          <w:kern w:val="0"/>
          <w:sz w:val="32"/>
          <w:szCs w:val="32"/>
        </w:rPr>
        <w:t xml:space="preserve"> 公寓内准公益性及商业性配套服务项目的承租方，需自行经营所承租项目；对发生转租行为的承租方，公寓管理单位及产权单位有权将其清退出公寓。</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第二十一条 </w:t>
      </w:r>
      <w:r>
        <w:rPr>
          <w:rFonts w:hint="eastAsia" w:ascii="仿宋_GB2312" w:hAnsi="宋体" w:eastAsia="仿宋_GB2312" w:cs="宋体"/>
          <w:kern w:val="0"/>
          <w:sz w:val="32"/>
          <w:szCs w:val="32"/>
        </w:rPr>
        <w:t>企业租用职工公寓，仅限于本企业直接雇用的员工住宿。</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第二十二条 </w:t>
      </w:r>
      <w:r>
        <w:rPr>
          <w:rFonts w:hint="eastAsia" w:ascii="仿宋_GB2312" w:hAnsi="宋体" w:eastAsia="仿宋_GB2312" w:cs="宋体"/>
          <w:kern w:val="0"/>
          <w:sz w:val="32"/>
          <w:szCs w:val="32"/>
        </w:rPr>
        <w:t>职工公寓经营方须每月向保税区服务中心备案出租住房情况，包括企业与入住员工签订的劳动合同概况表、入住人员变动情况等信息。</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第二十三条 </w:t>
      </w:r>
      <w:r>
        <w:rPr>
          <w:rFonts w:hint="eastAsia" w:ascii="仿宋_GB2312" w:hAnsi="宋体" w:eastAsia="仿宋_GB2312" w:cs="宋体"/>
          <w:kern w:val="0"/>
          <w:sz w:val="32"/>
          <w:szCs w:val="32"/>
        </w:rPr>
        <w:t>充分利用公寓宿舍资源，提高床位利用率，企业不得私自留用空闲床位，不得私自变更公寓使用性质。</w:t>
      </w:r>
    </w:p>
    <w:p>
      <w:pPr>
        <w:spacing w:line="560" w:lineRule="exact"/>
        <w:ind w:firstLine="643" w:firstLineChars="200"/>
        <w:jc w:val="left"/>
        <w:rPr>
          <w:rFonts w:ascii="仿宋_GB2312" w:hAnsi="宋体" w:eastAsia="仿宋_GB2312" w:cs="宋体"/>
          <w:kern w:val="0"/>
          <w:sz w:val="32"/>
          <w:szCs w:val="32"/>
          <w:shd w:val="clear" w:color="auto" w:fill="C0C0C0"/>
        </w:rPr>
      </w:pPr>
      <w:r>
        <w:rPr>
          <w:rFonts w:hint="eastAsia" w:ascii="仿宋_GB2312" w:hAnsi="宋体" w:eastAsia="仿宋_GB2312" w:cs="宋体"/>
          <w:b/>
          <w:bCs/>
          <w:kern w:val="0"/>
          <w:sz w:val="32"/>
          <w:szCs w:val="32"/>
        </w:rPr>
        <w:t xml:space="preserve">第二十四条 </w:t>
      </w:r>
      <w:r>
        <w:rPr>
          <w:rFonts w:hint="eastAsia" w:ascii="仿宋_GB2312" w:hAnsi="宋体" w:eastAsia="仿宋_GB2312" w:cs="宋体"/>
          <w:kern w:val="0"/>
          <w:sz w:val="32"/>
          <w:szCs w:val="32"/>
        </w:rPr>
        <w:t>保税区服务中心每半年组织有关部门对管委会投资建设的职工公寓的产权部门及物业服务企业的管理服务情况考评一次，考评结果与财政补贴挂钩，连续两次考评不达标的，将取消给予物业经营单位的下一年的财政补贴。对发生严重案件、重大责任事故的公寓项目，施行一票否决制。（补贴办法见第二十六条）</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第二十五条</w:t>
      </w:r>
      <w:r>
        <w:rPr>
          <w:rFonts w:hint="eastAsia" w:ascii="仿宋_GB2312" w:hAnsi="宋体" w:eastAsia="仿宋_GB2312" w:cs="宋体"/>
          <w:kern w:val="0"/>
          <w:sz w:val="32"/>
          <w:szCs w:val="32"/>
        </w:rPr>
        <w:t xml:space="preserve"> 住宿职工违反公寓管理相关规定的，由相关职能部门依法作出该职工的限期整改决定，限期整改不达标的，将取消职工租住公寓的资格，且满半年后方可重新申请资格认定。</w:t>
      </w:r>
    </w:p>
    <w:p>
      <w:pPr>
        <w:spacing w:line="560" w:lineRule="exact"/>
        <w:jc w:val="center"/>
        <w:rPr>
          <w:rFonts w:ascii="黑体" w:hAnsi="黑体" w:eastAsia="黑体" w:cs="宋体"/>
          <w:b/>
          <w:bCs/>
          <w:kern w:val="0"/>
          <w:sz w:val="32"/>
          <w:szCs w:val="32"/>
        </w:rPr>
      </w:pPr>
      <w:r>
        <w:rPr>
          <w:rFonts w:hint="eastAsia" w:ascii="黑体" w:hAnsi="黑体" w:eastAsia="黑体" w:cs="宋体"/>
          <w:b/>
          <w:bCs/>
          <w:kern w:val="0"/>
          <w:sz w:val="32"/>
          <w:szCs w:val="32"/>
        </w:rPr>
        <w:t>第四章 财政补贴</w:t>
      </w:r>
    </w:p>
    <w:p>
      <w:pPr>
        <w:tabs>
          <w:tab w:val="left" w:pos="2520"/>
        </w:tabs>
        <w:spacing w:line="560" w:lineRule="exact"/>
        <w:ind w:firstLine="643" w:firstLineChars="200"/>
        <w:outlineLvl w:val="0"/>
        <w:rPr>
          <w:rFonts w:ascii="仿宋_GB2312" w:hAnsi="宋体" w:eastAsia="仿宋_GB2312"/>
          <w:sz w:val="32"/>
          <w:szCs w:val="32"/>
        </w:rPr>
      </w:pPr>
      <w:r>
        <w:rPr>
          <w:rFonts w:hint="eastAsia" w:ascii="仿宋_GB2312" w:hAnsi="宋体" w:eastAsia="仿宋_GB2312" w:cs="宋体"/>
          <w:b/>
          <w:bCs/>
          <w:kern w:val="0"/>
          <w:sz w:val="32"/>
          <w:szCs w:val="32"/>
        </w:rPr>
        <w:t xml:space="preserve">第二十六条 </w:t>
      </w:r>
      <w:r>
        <w:rPr>
          <w:rFonts w:hint="eastAsia" w:ascii="仿宋_GB2312" w:hAnsi="宋体" w:eastAsia="仿宋_GB2312"/>
          <w:sz w:val="32"/>
          <w:szCs w:val="32"/>
        </w:rPr>
        <w:t>物业管理费补贴：对考核达到优秀的公寓产权部门或物业服务企业，按30元/人/年的标准给予补贴，用于公寓应急维修、大型服务保障和物业管理费用等支出，补贴额最高不超过30万元/年。</w:t>
      </w:r>
    </w:p>
    <w:p>
      <w:pPr>
        <w:spacing w:line="560" w:lineRule="exact"/>
        <w:ind w:firstLine="643" w:firstLineChars="200"/>
        <w:rPr>
          <w:rFonts w:ascii="仿宋_GB2312" w:hAnsi="宋体" w:eastAsia="仿宋_GB2312"/>
          <w:sz w:val="32"/>
          <w:szCs w:val="32"/>
        </w:rPr>
      </w:pPr>
      <w:r>
        <w:rPr>
          <w:rFonts w:hint="eastAsia" w:ascii="仿宋_GB2312" w:hAnsi="宋体" w:eastAsia="仿宋_GB2312" w:cs="宋体"/>
          <w:b/>
          <w:bCs/>
          <w:kern w:val="0"/>
          <w:sz w:val="32"/>
          <w:szCs w:val="32"/>
        </w:rPr>
        <w:t xml:space="preserve">第二十七条 </w:t>
      </w:r>
      <w:r>
        <w:rPr>
          <w:rFonts w:hint="eastAsia" w:ascii="仿宋_GB2312" w:hAnsi="宋体" w:eastAsia="仿宋_GB2312"/>
          <w:sz w:val="32"/>
          <w:szCs w:val="32"/>
        </w:rPr>
        <w:t>建立职工公寓评审机制（每年两次），财政补贴评审项目及扣分比例：①安全管理：占30% ；②公共卫生：占20% ；③节能降耗：10%；④维修服务与设备管理：占10%；⑤职工内务管理：占20% ；⑥物业内部管理：占10%。（详见附件《天津港保税区、天津空港经济区职工公寓物业管理考核评分表格》）</w:t>
      </w:r>
    </w:p>
    <w:p>
      <w:pPr>
        <w:tabs>
          <w:tab w:val="left" w:pos="2520"/>
        </w:tabs>
        <w:spacing w:line="560" w:lineRule="exact"/>
        <w:ind w:firstLine="643" w:firstLineChars="200"/>
        <w:outlineLvl w:val="0"/>
        <w:rPr>
          <w:rFonts w:ascii="仿宋_GB2312" w:hAnsi="宋体" w:eastAsia="仿宋_GB2312"/>
          <w:sz w:val="32"/>
          <w:szCs w:val="32"/>
        </w:rPr>
      </w:pPr>
      <w:r>
        <w:rPr>
          <w:rFonts w:hint="eastAsia" w:ascii="仿宋_GB2312" w:hAnsi="宋体" w:eastAsia="仿宋_GB2312" w:cs="宋体"/>
          <w:b/>
          <w:bCs/>
          <w:kern w:val="0"/>
          <w:sz w:val="32"/>
          <w:szCs w:val="32"/>
        </w:rPr>
        <w:t xml:space="preserve">第二十八条 </w:t>
      </w:r>
      <w:r>
        <w:rPr>
          <w:rFonts w:hint="eastAsia" w:ascii="仿宋_GB2312" w:hAnsi="宋体" w:eastAsia="仿宋_GB2312"/>
          <w:sz w:val="32"/>
          <w:szCs w:val="32"/>
        </w:rPr>
        <w:t>租金差价补贴：根据各项目建设标准和实际投资额，并参考同类产品的市场价格，由保税区服务中心会同财政局分别核定不同项目职工公寓成本租金价格。区内重点企业承租职工公寓的，可给予租金差额部分补贴。</w:t>
      </w:r>
    </w:p>
    <w:p>
      <w:pPr>
        <w:spacing w:line="560" w:lineRule="exact"/>
        <w:ind w:firstLine="643" w:firstLineChars="200"/>
        <w:rPr>
          <w:rFonts w:ascii="仿宋_GB2312" w:hAnsi="宋体" w:eastAsia="仿宋_GB2312"/>
          <w:sz w:val="32"/>
          <w:szCs w:val="32"/>
        </w:rPr>
      </w:pPr>
      <w:r>
        <w:rPr>
          <w:rFonts w:hint="eastAsia" w:ascii="仿宋_GB2312" w:hAnsi="宋体" w:eastAsia="仿宋_GB2312" w:cs="宋体"/>
          <w:b/>
          <w:bCs/>
          <w:kern w:val="0"/>
          <w:sz w:val="32"/>
          <w:szCs w:val="32"/>
        </w:rPr>
        <w:t xml:space="preserve">第二十九条 </w:t>
      </w:r>
      <w:r>
        <w:rPr>
          <w:rFonts w:hint="eastAsia" w:ascii="仿宋_GB2312" w:hAnsi="宋体" w:eastAsia="仿宋_GB2312"/>
          <w:sz w:val="32"/>
          <w:szCs w:val="32"/>
        </w:rPr>
        <w:t>保税区服务中心按年度编制职工公寓财政补贴预算，报管委会批准后，由财政局专项列支。</w:t>
      </w:r>
    </w:p>
    <w:p>
      <w:pPr>
        <w:spacing w:line="560" w:lineRule="exact"/>
        <w:jc w:val="center"/>
        <w:rPr>
          <w:rFonts w:ascii="黑体" w:hAnsi="黑体" w:eastAsia="黑体" w:cs="宋体"/>
          <w:b/>
          <w:kern w:val="0"/>
          <w:sz w:val="32"/>
          <w:szCs w:val="32"/>
        </w:rPr>
      </w:pPr>
      <w:r>
        <w:rPr>
          <w:rFonts w:hint="eastAsia" w:ascii="黑体" w:hAnsi="黑体" w:eastAsia="黑体" w:cs="宋体"/>
          <w:b/>
          <w:kern w:val="0"/>
          <w:sz w:val="32"/>
          <w:szCs w:val="32"/>
        </w:rPr>
        <w:t>第五章  其  他</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第三十条</w:t>
      </w:r>
      <w:r>
        <w:rPr>
          <w:rFonts w:hint="eastAsia" w:ascii="仿宋_GB2312" w:hAnsi="宋体" w:eastAsia="仿宋_GB2312" w:cs="宋体"/>
          <w:kern w:val="0"/>
          <w:sz w:val="32"/>
          <w:szCs w:val="32"/>
        </w:rPr>
        <w:t xml:space="preserve"> 本规定由保税区服务中心负责解释。</w:t>
      </w:r>
    </w:p>
    <w:p>
      <w:pPr>
        <w:spacing w:line="56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第三十一条 </w:t>
      </w:r>
      <w:r>
        <w:rPr>
          <w:rFonts w:hint="eastAsia" w:ascii="仿宋_GB2312" w:hAnsi="宋体" w:eastAsia="仿宋_GB2312" w:cs="宋体"/>
          <w:kern w:val="0"/>
          <w:sz w:val="32"/>
          <w:szCs w:val="32"/>
        </w:rPr>
        <w:t>本办法自颁布之日起实施。</w:t>
      </w:r>
    </w:p>
    <w:p>
      <w:pPr>
        <w:tabs>
          <w:tab w:val="left" w:pos="142"/>
          <w:tab w:val="left" w:pos="284"/>
          <w:tab w:val="left" w:pos="426"/>
          <w:tab w:val="left" w:pos="4858"/>
          <w:tab w:val="left" w:pos="8080"/>
          <w:tab w:val="left" w:pos="8505"/>
        </w:tabs>
        <w:spacing w:line="570" w:lineRule="exact"/>
        <w:ind w:right="-2" w:rightChars="-1" w:firstLine="0" w:firstLineChars="0"/>
        <w:rPr>
          <w:rFonts w:ascii="仿宋_GB2312" w:eastAsia="仿宋_GB2312"/>
          <w:sz w:val="32"/>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28" w:left="1588" w:header="851" w:footer="992" w:gutter="0"/>
      <w:cols w:space="720" w:num="1"/>
      <w:titlePg/>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42</w:t>
    </w:r>
    <w:r>
      <w:rPr>
        <w:sz w:val="28"/>
        <w:szCs w:val="28"/>
      </w:rPr>
      <w:fldChar w:fldCharType="end"/>
    </w:r>
    <w:r>
      <w:rPr>
        <w:rFonts w:hint="eastAsia"/>
        <w:sz w:val="28"/>
        <w:szCs w:val="28"/>
      </w:rPr>
      <w:t xml:space="preserve"> —</w:t>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41</w:t>
    </w:r>
    <w:r>
      <w:rPr>
        <w:rFonts w:ascii="宋体" w:hAnsi="宋体" w:eastAsia="宋体"/>
        <w:sz w:val="28"/>
        <w:szCs w:val="28"/>
      </w:rPr>
      <w:fldChar w:fldCharType="end"/>
    </w:r>
    <w:r>
      <w:rPr>
        <w:rFonts w:hint="eastAsia" w:ascii="宋体" w:hAnsi="宋体" w:eastAsia="宋体"/>
        <w:sz w:val="28"/>
        <w:szCs w:val="28"/>
      </w:rPr>
      <w:t xml:space="preserve"> —</w: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hyphenationZone w:val="360"/>
  <w:evenAndOddHeaders w:val="1"/>
  <w:drawingGridHorizontalSpacing w:val="105"/>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c0MjE4MDUzNjUwM2M0MjZkYjEwMjY1MTM2MmQifQ=="/>
  </w:docVars>
  <w:rsids>
    <w:rsidRoot w:val="00A25A54"/>
    <w:rsid w:val="000047C5"/>
    <w:rsid w:val="00022BBD"/>
    <w:rsid w:val="000232A7"/>
    <w:rsid w:val="0002724D"/>
    <w:rsid w:val="000327EB"/>
    <w:rsid w:val="000539DE"/>
    <w:rsid w:val="00073537"/>
    <w:rsid w:val="00077F2C"/>
    <w:rsid w:val="000A5DF4"/>
    <w:rsid w:val="000A6697"/>
    <w:rsid w:val="000D04E0"/>
    <w:rsid w:val="000F50B2"/>
    <w:rsid w:val="00100F47"/>
    <w:rsid w:val="0010239D"/>
    <w:rsid w:val="00114E46"/>
    <w:rsid w:val="0012674C"/>
    <w:rsid w:val="001301B1"/>
    <w:rsid w:val="00140F29"/>
    <w:rsid w:val="0014722F"/>
    <w:rsid w:val="00164EF8"/>
    <w:rsid w:val="0017333B"/>
    <w:rsid w:val="001B1772"/>
    <w:rsid w:val="001B38AE"/>
    <w:rsid w:val="001B648B"/>
    <w:rsid w:val="001E3FF4"/>
    <w:rsid w:val="001F5A7B"/>
    <w:rsid w:val="00213C32"/>
    <w:rsid w:val="002218C5"/>
    <w:rsid w:val="00226407"/>
    <w:rsid w:val="002321EF"/>
    <w:rsid w:val="00236D67"/>
    <w:rsid w:val="00240372"/>
    <w:rsid w:val="002655AF"/>
    <w:rsid w:val="00265BF3"/>
    <w:rsid w:val="002736B6"/>
    <w:rsid w:val="00275155"/>
    <w:rsid w:val="0029383D"/>
    <w:rsid w:val="002C4F10"/>
    <w:rsid w:val="002C5877"/>
    <w:rsid w:val="002C6057"/>
    <w:rsid w:val="002F2F70"/>
    <w:rsid w:val="002F448C"/>
    <w:rsid w:val="00310307"/>
    <w:rsid w:val="00314F8C"/>
    <w:rsid w:val="00333C19"/>
    <w:rsid w:val="00337C94"/>
    <w:rsid w:val="00356F91"/>
    <w:rsid w:val="00367E9A"/>
    <w:rsid w:val="0037023C"/>
    <w:rsid w:val="00395B86"/>
    <w:rsid w:val="00397EF0"/>
    <w:rsid w:val="003A1F1A"/>
    <w:rsid w:val="003A4817"/>
    <w:rsid w:val="003A51D4"/>
    <w:rsid w:val="003B4316"/>
    <w:rsid w:val="003D28FA"/>
    <w:rsid w:val="003E6136"/>
    <w:rsid w:val="00400ABD"/>
    <w:rsid w:val="00404AC9"/>
    <w:rsid w:val="00414445"/>
    <w:rsid w:val="00426FD8"/>
    <w:rsid w:val="00431FBB"/>
    <w:rsid w:val="00455BE6"/>
    <w:rsid w:val="00462BC2"/>
    <w:rsid w:val="00483B63"/>
    <w:rsid w:val="00496524"/>
    <w:rsid w:val="00496C10"/>
    <w:rsid w:val="004C2F91"/>
    <w:rsid w:val="004D455E"/>
    <w:rsid w:val="004E6ED7"/>
    <w:rsid w:val="00503C1D"/>
    <w:rsid w:val="005058DC"/>
    <w:rsid w:val="00556320"/>
    <w:rsid w:val="005A1CF4"/>
    <w:rsid w:val="005B5C5F"/>
    <w:rsid w:val="005B68A2"/>
    <w:rsid w:val="005C3F6F"/>
    <w:rsid w:val="005D17C7"/>
    <w:rsid w:val="005D244A"/>
    <w:rsid w:val="005E470C"/>
    <w:rsid w:val="00603C08"/>
    <w:rsid w:val="006129A4"/>
    <w:rsid w:val="00624694"/>
    <w:rsid w:val="006639BC"/>
    <w:rsid w:val="00663EC2"/>
    <w:rsid w:val="006861F7"/>
    <w:rsid w:val="006877AF"/>
    <w:rsid w:val="00690B4E"/>
    <w:rsid w:val="006B07B4"/>
    <w:rsid w:val="006B776D"/>
    <w:rsid w:val="006D0227"/>
    <w:rsid w:val="006E128F"/>
    <w:rsid w:val="006E71C6"/>
    <w:rsid w:val="006F4130"/>
    <w:rsid w:val="00706AA9"/>
    <w:rsid w:val="00732937"/>
    <w:rsid w:val="00740217"/>
    <w:rsid w:val="00742C28"/>
    <w:rsid w:val="00765EC6"/>
    <w:rsid w:val="007B601F"/>
    <w:rsid w:val="007E1545"/>
    <w:rsid w:val="007F0CFB"/>
    <w:rsid w:val="007F1969"/>
    <w:rsid w:val="00805B34"/>
    <w:rsid w:val="00822D96"/>
    <w:rsid w:val="008372D5"/>
    <w:rsid w:val="008633CD"/>
    <w:rsid w:val="00886EEE"/>
    <w:rsid w:val="008B42BA"/>
    <w:rsid w:val="008B624F"/>
    <w:rsid w:val="008C0266"/>
    <w:rsid w:val="008E3787"/>
    <w:rsid w:val="008F4649"/>
    <w:rsid w:val="00902B4A"/>
    <w:rsid w:val="009117F7"/>
    <w:rsid w:val="00917EF8"/>
    <w:rsid w:val="0092520A"/>
    <w:rsid w:val="00977F93"/>
    <w:rsid w:val="009A1A75"/>
    <w:rsid w:val="009A248E"/>
    <w:rsid w:val="009A6FD9"/>
    <w:rsid w:val="009C02F2"/>
    <w:rsid w:val="009C51E0"/>
    <w:rsid w:val="009E1C84"/>
    <w:rsid w:val="00A00365"/>
    <w:rsid w:val="00A20809"/>
    <w:rsid w:val="00A25A54"/>
    <w:rsid w:val="00A41108"/>
    <w:rsid w:val="00A4694D"/>
    <w:rsid w:val="00A5522E"/>
    <w:rsid w:val="00A74810"/>
    <w:rsid w:val="00AB0E1E"/>
    <w:rsid w:val="00AC05C2"/>
    <w:rsid w:val="00AC3224"/>
    <w:rsid w:val="00AD39B9"/>
    <w:rsid w:val="00B03E0C"/>
    <w:rsid w:val="00B067DA"/>
    <w:rsid w:val="00B30916"/>
    <w:rsid w:val="00B74F29"/>
    <w:rsid w:val="00B76EEA"/>
    <w:rsid w:val="00B7715E"/>
    <w:rsid w:val="00B81720"/>
    <w:rsid w:val="00B82326"/>
    <w:rsid w:val="00BC15A5"/>
    <w:rsid w:val="00BC4A8B"/>
    <w:rsid w:val="00BE7328"/>
    <w:rsid w:val="00C66F70"/>
    <w:rsid w:val="00C80128"/>
    <w:rsid w:val="00C8194D"/>
    <w:rsid w:val="00CD41B1"/>
    <w:rsid w:val="00CE1AAC"/>
    <w:rsid w:val="00CF5130"/>
    <w:rsid w:val="00D13416"/>
    <w:rsid w:val="00D270C4"/>
    <w:rsid w:val="00D328C4"/>
    <w:rsid w:val="00D713B3"/>
    <w:rsid w:val="00DB650E"/>
    <w:rsid w:val="00DB66B7"/>
    <w:rsid w:val="00DD2549"/>
    <w:rsid w:val="00DD32EE"/>
    <w:rsid w:val="00DF3040"/>
    <w:rsid w:val="00E075CA"/>
    <w:rsid w:val="00E107C0"/>
    <w:rsid w:val="00E2302F"/>
    <w:rsid w:val="00E260B0"/>
    <w:rsid w:val="00E26999"/>
    <w:rsid w:val="00E42DBD"/>
    <w:rsid w:val="00E74100"/>
    <w:rsid w:val="00E9345B"/>
    <w:rsid w:val="00EA0813"/>
    <w:rsid w:val="00EB6757"/>
    <w:rsid w:val="00EB7A65"/>
    <w:rsid w:val="00EE61DE"/>
    <w:rsid w:val="00EE7D4D"/>
    <w:rsid w:val="00EF1F13"/>
    <w:rsid w:val="00EF5E44"/>
    <w:rsid w:val="00F47CBA"/>
    <w:rsid w:val="00F550E2"/>
    <w:rsid w:val="00F779E9"/>
    <w:rsid w:val="00F92CE4"/>
    <w:rsid w:val="00F93A1B"/>
    <w:rsid w:val="00FC68D7"/>
    <w:rsid w:val="00FD1764"/>
    <w:rsid w:val="00FE4541"/>
    <w:rsid w:val="00FE68E8"/>
    <w:rsid w:val="11626924"/>
    <w:rsid w:val="1A6E4EB7"/>
    <w:rsid w:val="22AF17CC"/>
    <w:rsid w:val="DDF58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line="360" w:lineRule="auto"/>
      <w:ind w:firstLine="640" w:firstLineChars="200"/>
      <w:outlineLvl w:val="2"/>
    </w:pPr>
    <w:rPr>
      <w:rFonts w:ascii="Calibri" w:hAnsi="Calibri" w:eastAsia="仿宋_GB2312" w:cs="Calibri"/>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Body Text"/>
    <w:basedOn w:val="1"/>
    <w:link w:val="47"/>
    <w:qFormat/>
    <w:uiPriority w:val="0"/>
    <w:pPr>
      <w:spacing w:after="120"/>
    </w:pPr>
    <w:rPr>
      <w:rFonts w:eastAsia="仿宋_GB2312"/>
      <w:kern w:val="0"/>
      <w:sz w:val="32"/>
      <w:szCs w:val="20"/>
    </w:rPr>
  </w:style>
  <w:style w:type="paragraph" w:styleId="6">
    <w:name w:val="Body Text Indent"/>
    <w:basedOn w:val="1"/>
    <w:link w:val="42"/>
    <w:qFormat/>
    <w:uiPriority w:val="0"/>
    <w:pPr>
      <w:spacing w:line="360" w:lineRule="auto"/>
      <w:ind w:firstLine="600" w:firstLineChars="200"/>
    </w:pPr>
    <w:rPr>
      <w:rFonts w:ascii="楷体_GB2312" w:eastAsia="楷体_GB2312"/>
      <w:kern w:val="0"/>
      <w:sz w:val="30"/>
      <w:szCs w:val="30"/>
    </w:rPr>
  </w:style>
  <w:style w:type="paragraph" w:styleId="7">
    <w:name w:val="Date"/>
    <w:basedOn w:val="1"/>
    <w:next w:val="1"/>
    <w:link w:val="31"/>
    <w:qFormat/>
    <w:uiPriority w:val="0"/>
    <w:rPr>
      <w:sz w:val="32"/>
      <w:szCs w:val="20"/>
    </w:rPr>
  </w:style>
  <w:style w:type="paragraph" w:styleId="8">
    <w:name w:val="Body Text Indent 2"/>
    <w:basedOn w:val="1"/>
    <w:link w:val="45"/>
    <w:qFormat/>
    <w:uiPriority w:val="0"/>
    <w:pPr>
      <w:spacing w:after="120" w:line="480" w:lineRule="auto"/>
      <w:ind w:left="420" w:leftChars="200"/>
    </w:pPr>
    <w:rPr>
      <w:rFonts w:eastAsia="仿宋_GB2312"/>
      <w:kern w:val="0"/>
      <w:sz w:val="32"/>
      <w:szCs w:val="20"/>
    </w:rPr>
  </w:style>
  <w:style w:type="paragraph" w:styleId="9">
    <w:name w:val="endnote text"/>
    <w:basedOn w:val="1"/>
    <w:link w:val="43"/>
    <w:semiHidden/>
    <w:qFormat/>
    <w:uiPriority w:val="0"/>
    <w:pPr>
      <w:snapToGrid w:val="0"/>
      <w:jc w:val="left"/>
    </w:pPr>
    <w:rPr>
      <w:kern w:val="0"/>
      <w:sz w:val="20"/>
    </w:rPr>
  </w:style>
  <w:style w:type="paragraph" w:styleId="10">
    <w:name w:val="Balloon Text"/>
    <w:basedOn w:val="1"/>
    <w:link w:val="34"/>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0"/>
  </w:style>
  <w:style w:type="paragraph" w:styleId="14">
    <w:name w:val="footnote text"/>
    <w:basedOn w:val="1"/>
    <w:link w:val="46"/>
    <w:semiHidden/>
    <w:qFormat/>
    <w:uiPriority w:val="0"/>
    <w:pPr>
      <w:snapToGrid w:val="0"/>
      <w:jc w:val="left"/>
    </w:pPr>
    <w:rPr>
      <w:rFonts w:eastAsia="仿宋_GB2312"/>
      <w:kern w:val="0"/>
      <w:sz w:val="18"/>
      <w:szCs w:val="18"/>
    </w:rPr>
  </w:style>
  <w:style w:type="paragraph" w:styleId="15">
    <w:name w:val="Body Text Indent 3"/>
    <w:basedOn w:val="1"/>
    <w:link w:val="49"/>
    <w:qFormat/>
    <w:uiPriority w:val="0"/>
    <w:pPr>
      <w:spacing w:after="120"/>
      <w:ind w:left="420" w:leftChars="200"/>
    </w:pPr>
    <w:rPr>
      <w:rFonts w:eastAsia="仿宋_GB2312"/>
      <w:kern w:val="0"/>
      <w:sz w:val="16"/>
      <w:szCs w:val="16"/>
    </w:rPr>
  </w:style>
  <w:style w:type="paragraph" w:styleId="16">
    <w:name w:val="Body Text 2"/>
    <w:basedOn w:val="1"/>
    <w:link w:val="44"/>
    <w:qFormat/>
    <w:uiPriority w:val="0"/>
    <w:pPr>
      <w:spacing w:after="120" w:line="480" w:lineRule="auto"/>
    </w:pPr>
    <w:rPr>
      <w:rFonts w:eastAsia="仿宋_GB2312"/>
      <w:kern w:val="0"/>
      <w:sz w:val="32"/>
      <w:szCs w:val="20"/>
    </w:r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endnote reference"/>
    <w:basedOn w:val="20"/>
    <w:semiHidden/>
    <w:qFormat/>
    <w:uiPriority w:val="0"/>
    <w:rPr>
      <w:vertAlign w:val="superscript"/>
    </w:rPr>
  </w:style>
  <w:style w:type="character" w:styleId="23">
    <w:name w:val="page number"/>
    <w:basedOn w:val="20"/>
    <w:qFormat/>
    <w:uiPriority w:val="0"/>
  </w:style>
  <w:style w:type="character" w:styleId="24">
    <w:name w:val="Hyperlink"/>
    <w:basedOn w:val="20"/>
    <w:qFormat/>
    <w:uiPriority w:val="0"/>
    <w:rPr>
      <w:color w:val="0000FF"/>
      <w:u w:val="single"/>
    </w:rPr>
  </w:style>
  <w:style w:type="character" w:styleId="25">
    <w:name w:val="footnote reference"/>
    <w:basedOn w:val="20"/>
    <w:semiHidden/>
    <w:qFormat/>
    <w:uiPriority w:val="0"/>
    <w:rPr>
      <w:vertAlign w:val="superscript"/>
    </w:rPr>
  </w:style>
  <w:style w:type="character" w:customStyle="1" w:styleId="26">
    <w:name w:val="标题 1 Char"/>
    <w:basedOn w:val="20"/>
    <w:link w:val="2"/>
    <w:qFormat/>
    <w:uiPriority w:val="0"/>
    <w:rPr>
      <w:b/>
      <w:bCs/>
      <w:kern w:val="44"/>
      <w:sz w:val="44"/>
      <w:szCs w:val="44"/>
    </w:rPr>
  </w:style>
  <w:style w:type="character" w:customStyle="1" w:styleId="27">
    <w:name w:val="标题 2 Char"/>
    <w:basedOn w:val="20"/>
    <w:link w:val="3"/>
    <w:qFormat/>
    <w:uiPriority w:val="0"/>
    <w:rPr>
      <w:rFonts w:ascii="Arial" w:hAnsi="Arial" w:eastAsia="黑体"/>
      <w:b/>
      <w:bCs/>
      <w:kern w:val="2"/>
      <w:sz w:val="32"/>
      <w:szCs w:val="32"/>
    </w:rPr>
  </w:style>
  <w:style w:type="character" w:customStyle="1" w:styleId="28">
    <w:name w:val="标题 3 Char"/>
    <w:basedOn w:val="20"/>
    <w:link w:val="4"/>
    <w:qFormat/>
    <w:uiPriority w:val="0"/>
    <w:rPr>
      <w:rFonts w:ascii="Calibri" w:hAnsi="Calibri" w:eastAsia="仿宋_GB2312" w:cs="Calibri"/>
      <w:b/>
      <w:bCs/>
      <w:kern w:val="2"/>
      <w:sz w:val="32"/>
      <w:szCs w:val="32"/>
    </w:rPr>
  </w:style>
  <w:style w:type="character" w:customStyle="1" w:styleId="29">
    <w:name w:val="正文文本 Char1"/>
    <w:basedOn w:val="20"/>
    <w:link w:val="5"/>
    <w:semiHidden/>
    <w:qFormat/>
    <w:uiPriority w:val="0"/>
    <w:rPr>
      <w:kern w:val="2"/>
      <w:sz w:val="21"/>
      <w:szCs w:val="24"/>
    </w:rPr>
  </w:style>
  <w:style w:type="character" w:customStyle="1" w:styleId="30">
    <w:name w:val="正文文本缩进 Char1"/>
    <w:basedOn w:val="20"/>
    <w:link w:val="6"/>
    <w:semiHidden/>
    <w:qFormat/>
    <w:uiPriority w:val="99"/>
    <w:rPr>
      <w:kern w:val="2"/>
      <w:sz w:val="21"/>
      <w:szCs w:val="24"/>
    </w:rPr>
  </w:style>
  <w:style w:type="character" w:customStyle="1" w:styleId="31">
    <w:name w:val="日期 Char"/>
    <w:basedOn w:val="20"/>
    <w:link w:val="7"/>
    <w:qFormat/>
    <w:uiPriority w:val="0"/>
    <w:rPr>
      <w:kern w:val="2"/>
      <w:sz w:val="32"/>
    </w:rPr>
  </w:style>
  <w:style w:type="character" w:customStyle="1" w:styleId="32">
    <w:name w:val="正文文本缩进 2 Char1"/>
    <w:basedOn w:val="20"/>
    <w:link w:val="8"/>
    <w:semiHidden/>
    <w:qFormat/>
    <w:uiPriority w:val="0"/>
    <w:rPr>
      <w:kern w:val="2"/>
      <w:sz w:val="21"/>
      <w:szCs w:val="24"/>
    </w:rPr>
  </w:style>
  <w:style w:type="character" w:customStyle="1" w:styleId="33">
    <w:name w:val="尾注文本 Char1"/>
    <w:basedOn w:val="20"/>
    <w:link w:val="9"/>
    <w:semiHidden/>
    <w:qFormat/>
    <w:uiPriority w:val="0"/>
    <w:rPr>
      <w:kern w:val="2"/>
      <w:sz w:val="21"/>
      <w:szCs w:val="24"/>
    </w:rPr>
  </w:style>
  <w:style w:type="character" w:customStyle="1" w:styleId="34">
    <w:name w:val="批注框文本 Char"/>
    <w:basedOn w:val="20"/>
    <w:link w:val="10"/>
    <w:semiHidden/>
    <w:qFormat/>
    <w:uiPriority w:val="0"/>
    <w:rPr>
      <w:kern w:val="2"/>
      <w:sz w:val="18"/>
      <w:szCs w:val="18"/>
    </w:rPr>
  </w:style>
  <w:style w:type="character" w:customStyle="1" w:styleId="35">
    <w:name w:val="页脚 Char"/>
    <w:link w:val="11"/>
    <w:qFormat/>
    <w:uiPriority w:val="99"/>
    <w:rPr>
      <w:kern w:val="2"/>
      <w:sz w:val="18"/>
      <w:szCs w:val="18"/>
    </w:rPr>
  </w:style>
  <w:style w:type="character" w:customStyle="1" w:styleId="36">
    <w:name w:val="页眉 Char"/>
    <w:link w:val="12"/>
    <w:qFormat/>
    <w:uiPriority w:val="0"/>
    <w:rPr>
      <w:kern w:val="2"/>
      <w:sz w:val="18"/>
      <w:szCs w:val="18"/>
    </w:rPr>
  </w:style>
  <w:style w:type="character" w:customStyle="1" w:styleId="37">
    <w:name w:val="脚注文本 Char1"/>
    <w:basedOn w:val="20"/>
    <w:link w:val="14"/>
    <w:semiHidden/>
    <w:qFormat/>
    <w:uiPriority w:val="0"/>
    <w:rPr>
      <w:kern w:val="2"/>
      <w:sz w:val="18"/>
      <w:szCs w:val="18"/>
    </w:rPr>
  </w:style>
  <w:style w:type="character" w:customStyle="1" w:styleId="38">
    <w:name w:val="正文文本缩进 3 Char1"/>
    <w:basedOn w:val="20"/>
    <w:link w:val="15"/>
    <w:semiHidden/>
    <w:qFormat/>
    <w:uiPriority w:val="0"/>
    <w:rPr>
      <w:kern w:val="2"/>
      <w:sz w:val="16"/>
      <w:szCs w:val="16"/>
    </w:rPr>
  </w:style>
  <w:style w:type="character" w:customStyle="1" w:styleId="39">
    <w:name w:val="正文文本 2 Char1"/>
    <w:basedOn w:val="20"/>
    <w:link w:val="16"/>
    <w:semiHidden/>
    <w:qFormat/>
    <w:uiPriority w:val="0"/>
    <w:rPr>
      <w:kern w:val="2"/>
      <w:sz w:val="21"/>
      <w:szCs w:val="24"/>
    </w:rPr>
  </w:style>
  <w:style w:type="paragraph" w:styleId="40">
    <w:name w:val="List Paragraph"/>
    <w:basedOn w:val="1"/>
    <w:qFormat/>
    <w:uiPriority w:val="0"/>
    <w:pPr>
      <w:ind w:firstLine="420" w:firstLineChars="200"/>
    </w:pPr>
    <w:rPr>
      <w:rFonts w:ascii="Calibri" w:hAnsi="Calibri" w:eastAsia="宋体" w:cs="Times New Roman"/>
      <w:szCs w:val="22"/>
    </w:rPr>
  </w:style>
  <w:style w:type="paragraph" w:customStyle="1" w:styleId="41">
    <w:name w:val="Char"/>
    <w:basedOn w:val="1"/>
    <w:qFormat/>
    <w:uiPriority w:val="0"/>
    <w:pPr>
      <w:spacing w:line="360" w:lineRule="auto"/>
      <w:ind w:firstLine="200" w:firstLineChars="200"/>
    </w:pPr>
    <w:rPr>
      <w:rFonts w:ascii="宋体" w:hAnsi="宋体" w:eastAsia="楷体_GB2312" w:cs="宋体"/>
      <w:sz w:val="24"/>
      <w:szCs w:val="32"/>
    </w:rPr>
  </w:style>
  <w:style w:type="character" w:customStyle="1" w:styleId="42">
    <w:name w:val="正文文本缩进 Char"/>
    <w:basedOn w:val="20"/>
    <w:link w:val="6"/>
    <w:qFormat/>
    <w:uiPriority w:val="0"/>
    <w:rPr>
      <w:rFonts w:ascii="楷体_GB2312" w:eastAsia="楷体_GB2312"/>
      <w:sz w:val="30"/>
      <w:szCs w:val="30"/>
    </w:rPr>
  </w:style>
  <w:style w:type="character" w:customStyle="1" w:styleId="43">
    <w:name w:val="尾注文本 Char"/>
    <w:basedOn w:val="20"/>
    <w:link w:val="9"/>
    <w:semiHidden/>
    <w:qFormat/>
    <w:uiPriority w:val="0"/>
    <w:rPr>
      <w:szCs w:val="24"/>
    </w:rPr>
  </w:style>
  <w:style w:type="character" w:customStyle="1" w:styleId="44">
    <w:name w:val="正文文本 2 Char"/>
    <w:basedOn w:val="20"/>
    <w:link w:val="16"/>
    <w:qFormat/>
    <w:uiPriority w:val="0"/>
    <w:rPr>
      <w:rFonts w:eastAsia="仿宋_GB2312"/>
      <w:sz w:val="32"/>
    </w:rPr>
  </w:style>
  <w:style w:type="character" w:customStyle="1" w:styleId="45">
    <w:name w:val="正文文本缩进 2 Char"/>
    <w:basedOn w:val="20"/>
    <w:link w:val="8"/>
    <w:qFormat/>
    <w:uiPriority w:val="0"/>
    <w:rPr>
      <w:rFonts w:eastAsia="仿宋_GB2312"/>
      <w:sz w:val="32"/>
    </w:rPr>
  </w:style>
  <w:style w:type="character" w:customStyle="1" w:styleId="46">
    <w:name w:val="脚注文本 Char"/>
    <w:basedOn w:val="20"/>
    <w:link w:val="14"/>
    <w:semiHidden/>
    <w:qFormat/>
    <w:uiPriority w:val="0"/>
    <w:rPr>
      <w:rFonts w:eastAsia="仿宋_GB2312"/>
      <w:sz w:val="18"/>
      <w:szCs w:val="18"/>
    </w:rPr>
  </w:style>
  <w:style w:type="character" w:customStyle="1" w:styleId="47">
    <w:name w:val="正文文本 Char"/>
    <w:basedOn w:val="20"/>
    <w:link w:val="5"/>
    <w:qFormat/>
    <w:uiPriority w:val="0"/>
    <w:rPr>
      <w:rFonts w:eastAsia="仿宋_GB2312"/>
      <w:sz w:val="32"/>
    </w:rPr>
  </w:style>
  <w:style w:type="character" w:customStyle="1" w:styleId="48">
    <w:name w:val="日期 Char1"/>
    <w:basedOn w:val="20"/>
    <w:semiHidden/>
    <w:qFormat/>
    <w:uiPriority w:val="99"/>
  </w:style>
  <w:style w:type="character" w:customStyle="1" w:styleId="49">
    <w:name w:val="正文文本缩进 3 Char"/>
    <w:basedOn w:val="20"/>
    <w:link w:val="15"/>
    <w:qFormat/>
    <w:uiPriority w:val="0"/>
    <w:rPr>
      <w:rFonts w:eastAsia="仿宋_GB2312"/>
      <w:sz w:val="16"/>
      <w:szCs w:val="16"/>
    </w:rPr>
  </w:style>
  <w:style w:type="character" w:customStyle="1" w:styleId="50">
    <w:name w:val="批注框文本 Char1"/>
    <w:basedOn w:val="20"/>
    <w:semiHidden/>
    <w:qFormat/>
    <w:uiPriority w:val="99"/>
    <w:rPr>
      <w:sz w:val="18"/>
      <w:szCs w:val="18"/>
    </w:rPr>
  </w:style>
  <w:style w:type="paragraph" w:customStyle="1" w:styleId="51">
    <w:name w:val="列出段落1"/>
    <w:basedOn w:val="1"/>
    <w:qFormat/>
    <w:uiPriority w:val="0"/>
    <w:pPr>
      <w:ind w:firstLine="420" w:firstLineChars="200"/>
    </w:pPr>
    <w:rPr>
      <w:rFonts w:ascii="Calibri" w:hAnsi="Calibri"/>
      <w:szCs w:val="22"/>
    </w:rPr>
  </w:style>
  <w:style w:type="character" w:customStyle="1" w:styleId="52">
    <w:name w:val="Char Char7"/>
    <w:basedOn w:val="20"/>
    <w:qFormat/>
    <w:uiPriority w:val="0"/>
    <w:rPr>
      <w:rFonts w:ascii="Times New Roman" w:hAnsi="Times New Roman" w:eastAsia="仿宋_GB2312" w:cs="Times New Roman"/>
      <w:sz w:val="18"/>
      <w:szCs w:val="18"/>
    </w:rPr>
  </w:style>
  <w:style w:type="character" w:customStyle="1" w:styleId="53">
    <w:name w:val="页脚 Char1"/>
    <w:qFormat/>
    <w:uiPriority w:val="0"/>
    <w:rPr>
      <w:rFonts w:eastAsia="仿宋_GB2312"/>
      <w:kern w:val="2"/>
      <w:sz w:val="18"/>
      <w:szCs w:val="18"/>
      <w:lang w:val="en-US" w:eastAsia="zh-CN" w:bidi="ar-SA"/>
    </w:rPr>
  </w:style>
  <w:style w:type="character" w:customStyle="1" w:styleId="54">
    <w:name w:val="pfont"/>
    <w:basedOn w:val="20"/>
    <w:qFormat/>
    <w:uiPriority w:val="0"/>
  </w:style>
  <w:style w:type="character" w:customStyle="1" w:styleId="55">
    <w:name w:val="Char Char6"/>
    <w:qFormat/>
    <w:uiPriority w:val="0"/>
    <w:rPr>
      <w:b/>
      <w:bCs/>
      <w:kern w:val="44"/>
      <w:sz w:val="44"/>
      <w:szCs w:val="44"/>
    </w:rPr>
  </w:style>
  <w:style w:type="character" w:customStyle="1" w:styleId="56">
    <w:name w:val="Footer Char"/>
    <w:basedOn w:val="20"/>
    <w:qFormat/>
    <w:locked/>
    <w:uiPriority w:val="0"/>
    <w:rPr>
      <w:rFonts w:cs="Times New Roman"/>
      <w:sz w:val="18"/>
      <w:szCs w:val="18"/>
    </w:rPr>
  </w:style>
  <w:style w:type="paragraph" w:customStyle="1" w:styleId="57">
    <w:name w:val="Char Char1 Char"/>
    <w:basedOn w:val="1"/>
    <w:qFormat/>
    <w:uiPriority w:val="0"/>
    <w:pPr>
      <w:spacing w:line="360" w:lineRule="auto"/>
      <w:ind w:firstLine="200" w:firstLineChars="200"/>
    </w:pPr>
    <w:rPr>
      <w:rFonts w:ascii="宋体" w:hAnsi="宋体" w:eastAsia="仿宋_GB2312" w:cs="宋体"/>
      <w:sz w:val="24"/>
      <w:szCs w:val="32"/>
    </w:rPr>
  </w:style>
  <w:style w:type="paragraph" w:customStyle="1" w:styleId="58">
    <w:name w:val="文件标题"/>
    <w:basedOn w:val="1"/>
    <w:qFormat/>
    <w:uiPriority w:val="0"/>
    <w:rPr>
      <w:rFonts w:ascii="宋体"/>
      <w:b/>
      <w:sz w:val="44"/>
    </w:rPr>
  </w:style>
  <w:style w:type="paragraph" w:customStyle="1" w:styleId="59">
    <w:name w:val="默认段落字体 Para Char Char Char Char Char Char Char"/>
    <w:basedOn w:val="1"/>
    <w:qFormat/>
    <w:uiPriority w:val="0"/>
    <w:pPr>
      <w:spacing w:line="360" w:lineRule="auto"/>
      <w:ind w:firstLine="200" w:firstLineChars="200"/>
    </w:pPr>
    <w:rPr>
      <w:rFonts w:ascii="宋体" w:hAnsi="宋体" w:cs="宋体"/>
      <w:sz w:val="24"/>
    </w:rPr>
  </w:style>
  <w:style w:type="paragraph" w:styleId="60">
    <w:name w:val="No Spacing"/>
    <w:qFormat/>
    <w:uiPriority w:val="0"/>
    <w:pPr>
      <w:widowControl w:val="0"/>
      <w:spacing w:line="360" w:lineRule="auto"/>
      <w:ind w:left="200" w:leftChars="200"/>
      <w:textAlignment w:val="center"/>
      <w:outlineLvl w:val="2"/>
    </w:pPr>
    <w:rPr>
      <w:rFonts w:ascii="Calibri" w:hAnsi="Calibri" w:eastAsia="华文中宋" w:cs="Times New Roman"/>
      <w:b/>
      <w:kern w:val="2"/>
      <w:sz w:val="28"/>
      <w:szCs w:val="24"/>
      <w:lang w:val="en-US" w:eastAsia="zh-CN" w:bidi="ar-SA"/>
    </w:rPr>
  </w:style>
  <w:style w:type="paragraph" w:customStyle="1" w:styleId="61">
    <w:name w:val="xl25"/>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24"/>
    </w:rPr>
  </w:style>
  <w:style w:type="paragraph" w:customStyle="1" w:styleId="62">
    <w:name w:val="Char Char Char"/>
    <w:basedOn w:val="1"/>
    <w:qFormat/>
    <w:uiPriority w:val="0"/>
    <w:pPr>
      <w:spacing w:line="360" w:lineRule="auto"/>
      <w:ind w:firstLine="200" w:firstLineChars="200"/>
    </w:pPr>
  </w:style>
  <w:style w:type="paragraph" w:customStyle="1" w:styleId="63">
    <w:name w:val="Char Char Char Char"/>
    <w:basedOn w:val="1"/>
    <w:qFormat/>
    <w:uiPriority w:val="0"/>
    <w:pPr>
      <w:spacing w:line="360" w:lineRule="auto"/>
      <w:ind w:firstLine="200" w:firstLineChars="200"/>
    </w:pPr>
    <w:rPr>
      <w:rFonts w:ascii="宋体" w:hAnsi="宋体" w:cs="宋体"/>
      <w:sz w:val="24"/>
    </w:rPr>
  </w:style>
  <w:style w:type="paragraph" w:customStyle="1" w:styleId="64">
    <w:name w:val="列出段落2"/>
    <w:basedOn w:val="1"/>
    <w:qFormat/>
    <w:uiPriority w:val="0"/>
    <w:pPr>
      <w:ind w:firstLine="420" w:firstLineChars="200"/>
    </w:pPr>
    <w:rPr>
      <w:rFonts w:ascii="Calibri" w:hAnsi="Calibri"/>
      <w:szCs w:val="22"/>
    </w:rPr>
  </w:style>
  <w:style w:type="paragraph" w:customStyle="1" w:styleId="65">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customStyle="1" w:styleId="66">
    <w:name w:val="Char Char 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50</Pages>
  <Words>18666</Words>
  <Characters>18959</Characters>
  <Lines>169</Lines>
  <Paragraphs>47</Paragraphs>
  <TotalTime>5</TotalTime>
  <ScaleCrop>false</ScaleCrop>
  <LinksUpToDate>false</LinksUpToDate>
  <CharactersWithSpaces>22237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2020-07-01T13:10:00Z</dcterms:created>
  <dc:creator>user</dc:creator>
  <cp:lastModifiedBy>拾雲</cp:lastModifiedBy>
  <cp:lastPrinted>2015-09-18T15:46:00Z</cp:lastPrinted>
  <dcterms:modified xsi:type="dcterms:W3CDTF">2023-06-16T01:23:31Z</dcterms:modified>
  <dc:title>中共天津港保税区工作委员会文件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F492CF4F7F5E438C809FD7DAADF33FCE_13</vt:lpwstr>
  </property>
</Properties>
</file>